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18A1" w14:textId="77777777" w:rsidR="00822155" w:rsidRDefault="00822155" w:rsidP="00EF1777">
      <w:pPr>
        <w:pStyle w:val="Title"/>
        <w:jc w:val="center"/>
      </w:pPr>
      <w:r w:rsidRPr="00822155">
        <w:t>Safety Data Sheet</w:t>
      </w:r>
    </w:p>
    <w:p w14:paraId="5926A211" w14:textId="77777777" w:rsidR="00822155" w:rsidRPr="00822155" w:rsidRDefault="00822155" w:rsidP="0082215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theme="majorHAnsi"/>
          <w:color w:val="000000"/>
        </w:rPr>
      </w:pPr>
    </w:p>
    <w:p w14:paraId="3A244E40" w14:textId="77777777" w:rsidR="00822155" w:rsidRPr="00822155" w:rsidRDefault="00822155" w:rsidP="0082215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822155">
        <w:rPr>
          <w:rFonts w:asciiTheme="majorHAnsi" w:hAnsiTheme="majorHAnsi" w:cstheme="majorHAnsi"/>
          <w:color w:val="000000"/>
        </w:rPr>
        <w:t xml:space="preserve">Manufactured fluorescent lamps are exempt from the requirements of OSHA Hazard Communication </w:t>
      </w:r>
      <w:r w:rsidRPr="00822155">
        <w:rPr>
          <w:rFonts w:asciiTheme="majorHAnsi" w:hAnsiTheme="majorHAnsi" w:cstheme="majorHAnsi"/>
          <w:b/>
          <w:bCs/>
          <w:color w:val="000000"/>
        </w:rPr>
        <w:t>Standard</w:t>
      </w:r>
    </w:p>
    <w:p w14:paraId="1DDAD28E" w14:textId="77777777" w:rsidR="00822155" w:rsidRPr="00822155" w:rsidRDefault="00822155" w:rsidP="0082215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822155">
        <w:rPr>
          <w:rFonts w:asciiTheme="majorHAnsi" w:hAnsiTheme="majorHAnsi" w:cstheme="majorHAnsi"/>
          <w:b/>
          <w:bCs/>
          <w:color w:val="000000"/>
        </w:rPr>
        <w:t>29CFR1910.1200. Defined as manufactured “articles,” an individual would not be subject to the materials</w:t>
      </w:r>
    </w:p>
    <w:p w14:paraId="6ECC5B3D" w14:textId="77777777" w:rsidR="00822155" w:rsidRPr="00822155" w:rsidRDefault="00822155" w:rsidP="0082215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822155">
        <w:rPr>
          <w:rFonts w:asciiTheme="majorHAnsi" w:hAnsiTheme="majorHAnsi" w:cstheme="majorHAnsi"/>
          <w:b/>
          <w:bCs/>
          <w:color w:val="000000"/>
        </w:rPr>
        <w:t>contained inside during normal intended use. Light Sources, Incorporated provides this safety data sheet as a</w:t>
      </w:r>
    </w:p>
    <w:p w14:paraId="30D52235" w14:textId="77777777" w:rsidR="00822155" w:rsidRPr="00822155" w:rsidRDefault="00822155" w:rsidP="0082215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822155">
        <w:rPr>
          <w:rFonts w:asciiTheme="majorHAnsi" w:hAnsiTheme="majorHAnsi" w:cstheme="majorHAnsi"/>
          <w:b/>
          <w:bCs/>
          <w:color w:val="000000"/>
        </w:rPr>
        <w:t>courtesy to its customers to provide relevant information in the event the article it covers encounters unintended</w:t>
      </w:r>
    </w:p>
    <w:p w14:paraId="7B8E0638" w14:textId="77777777" w:rsidR="00822155" w:rsidRPr="00822155" w:rsidRDefault="00822155" w:rsidP="0082215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822155">
        <w:rPr>
          <w:rFonts w:asciiTheme="majorHAnsi" w:hAnsiTheme="majorHAnsi" w:cstheme="majorHAnsi"/>
          <w:b/>
          <w:bCs/>
          <w:color w:val="000000"/>
        </w:rPr>
        <w:t>or abnormal circumstances.</w:t>
      </w:r>
    </w:p>
    <w:p w14:paraId="129190AD" w14:textId="77777777" w:rsidR="00822155" w:rsidRDefault="00822155" w:rsidP="00822155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7567F9E9" w14:textId="77777777" w:rsidR="00EC7DA7" w:rsidRPr="00822155" w:rsidRDefault="00822155" w:rsidP="00731E1F">
      <w:pPr>
        <w:pStyle w:val="Heading2"/>
        <w:spacing w:line="480" w:lineRule="auto"/>
      </w:pPr>
      <w:r w:rsidRPr="00822155">
        <w:t>1. IDENTIFICATION:</w:t>
      </w:r>
    </w:p>
    <w:p w14:paraId="30EB6146" w14:textId="77777777" w:rsidR="0024000F" w:rsidRDefault="00822155" w:rsidP="0024000F">
      <w:pPr>
        <w:pStyle w:val="Heading3"/>
      </w:pPr>
      <w:r w:rsidRPr="00822155">
        <w:t>1.1 Product name:</w:t>
      </w:r>
    </w:p>
    <w:p w14:paraId="50FF7732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1440" w:firstLine="72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Titan Source 1 C-Blue-XX Lantern</w:t>
      </w:r>
    </w:p>
    <w:p w14:paraId="738C9EEA" w14:textId="77777777" w:rsidR="0024000F" w:rsidRDefault="00822155" w:rsidP="0024000F">
      <w:pPr>
        <w:pStyle w:val="Heading3"/>
      </w:pPr>
      <w:r w:rsidRPr="00822155">
        <w:t xml:space="preserve">1.2 Product uses: </w:t>
      </w:r>
    </w:p>
    <w:p w14:paraId="74B96A78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160"/>
        <w:rPr>
          <w:rFonts w:asciiTheme="majorHAnsi" w:hAnsiTheme="majorHAnsi" w:cstheme="majorHAnsi"/>
          <w:b/>
          <w:bCs/>
          <w:color w:val="000000"/>
        </w:rPr>
      </w:pPr>
      <w:r w:rsidRPr="00822155">
        <w:rPr>
          <w:rFonts w:asciiTheme="majorHAnsi" w:hAnsiTheme="majorHAnsi" w:cstheme="majorHAnsi"/>
          <w:b/>
          <w:bCs/>
          <w:color w:val="000000"/>
        </w:rPr>
        <w:t>Professional use only.</w:t>
      </w:r>
    </w:p>
    <w:p w14:paraId="08367A5A" w14:textId="77777777" w:rsidR="0024000F" w:rsidRDefault="0024000F" w:rsidP="0024000F">
      <w:pPr>
        <w:pStyle w:val="Heading3"/>
      </w:pPr>
      <w:r>
        <w:t>1.3 Manufacturer:</w:t>
      </w:r>
    </w:p>
    <w:p w14:paraId="2D0092CE" w14:textId="3039C1CD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1440" w:firstLine="72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Titan Source 1, </w:t>
      </w:r>
      <w:r w:rsidR="00151634">
        <w:rPr>
          <w:rFonts w:asciiTheme="majorHAnsi" w:hAnsiTheme="majorHAnsi" w:cstheme="majorHAnsi"/>
          <w:b/>
          <w:bCs/>
          <w:color w:val="000000"/>
        </w:rPr>
        <w:t>LLC 6313 Equity Dr.,</w:t>
      </w:r>
      <w:r>
        <w:rPr>
          <w:rFonts w:asciiTheme="majorHAnsi" w:hAnsiTheme="majorHAnsi" w:cstheme="majorHAnsi"/>
          <w:b/>
          <w:bCs/>
          <w:color w:val="000000"/>
        </w:rPr>
        <w:t xml:space="preserve"> Baton Rouge, LA 70809</w:t>
      </w:r>
    </w:p>
    <w:p w14:paraId="0A0CC6F3" w14:textId="77777777" w:rsidR="0024000F" w:rsidRDefault="0024000F" w:rsidP="0024000F">
      <w:pPr>
        <w:pStyle w:val="Heading3"/>
      </w:pPr>
      <w:r>
        <w:t>1.4 Supplier:</w:t>
      </w:r>
    </w:p>
    <w:p w14:paraId="27391126" w14:textId="2AC05979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1440" w:firstLine="72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L.E.T. Light Technology (Poland</w:t>
      </w:r>
      <w:r w:rsidR="00EC7DA7">
        <w:rPr>
          <w:rFonts w:asciiTheme="majorHAnsi" w:hAnsiTheme="majorHAnsi" w:cstheme="majorHAnsi"/>
          <w:b/>
          <w:bCs/>
          <w:color w:val="000000"/>
        </w:rPr>
        <w:t xml:space="preserve">, an EPA </w:t>
      </w:r>
      <w:r w:rsidR="00151634">
        <w:rPr>
          <w:rFonts w:asciiTheme="majorHAnsi" w:hAnsiTheme="majorHAnsi" w:cstheme="majorHAnsi"/>
          <w:b/>
          <w:bCs/>
          <w:color w:val="000000"/>
        </w:rPr>
        <w:t xml:space="preserve">Approved </w:t>
      </w:r>
      <w:r w:rsidR="00EC7DA7">
        <w:rPr>
          <w:rFonts w:asciiTheme="majorHAnsi" w:hAnsiTheme="majorHAnsi" w:cstheme="majorHAnsi"/>
          <w:b/>
          <w:bCs/>
          <w:color w:val="000000"/>
        </w:rPr>
        <w:t>Supplier</w:t>
      </w:r>
      <w:r>
        <w:rPr>
          <w:rFonts w:asciiTheme="majorHAnsi" w:hAnsiTheme="majorHAnsi" w:cstheme="majorHAnsi"/>
          <w:b/>
          <w:bCs/>
          <w:color w:val="000000"/>
        </w:rPr>
        <w:t>)</w:t>
      </w:r>
    </w:p>
    <w:p w14:paraId="5353B379" w14:textId="77777777" w:rsidR="0024000F" w:rsidRDefault="0024000F" w:rsidP="0024000F">
      <w:pPr>
        <w:pStyle w:val="Heading3"/>
      </w:pPr>
      <w:r>
        <w:t>1.5 Emergency Contact:</w:t>
      </w:r>
    </w:p>
    <w:p w14:paraId="4D190C89" w14:textId="3C3DB101" w:rsidR="00EC7DA7" w:rsidRDefault="00822155" w:rsidP="00731E1F">
      <w:pPr>
        <w:autoSpaceDE w:val="0"/>
        <w:autoSpaceDN w:val="0"/>
        <w:adjustRightInd w:val="0"/>
        <w:spacing w:before="0" w:after="0" w:line="480" w:lineRule="auto"/>
        <w:ind w:left="1440" w:firstLine="72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Titan Source 1 </w:t>
      </w:r>
      <w:r w:rsidR="00151634">
        <w:rPr>
          <w:rFonts w:asciiTheme="majorHAnsi" w:hAnsiTheme="majorHAnsi" w:cstheme="majorHAnsi"/>
          <w:b/>
          <w:bCs/>
          <w:color w:val="000000"/>
        </w:rPr>
        <w:t>6313 Equity Dr.</w:t>
      </w:r>
      <w:proofErr w:type="gramStart"/>
      <w:r w:rsidR="00151634">
        <w:rPr>
          <w:rFonts w:asciiTheme="majorHAnsi" w:hAnsiTheme="majorHAnsi" w:cstheme="majorHAnsi"/>
          <w:b/>
          <w:bCs/>
          <w:color w:val="000000"/>
        </w:rPr>
        <w:t xml:space="preserve">, </w:t>
      </w:r>
      <w:r>
        <w:rPr>
          <w:rFonts w:asciiTheme="majorHAnsi" w:hAnsiTheme="majorHAnsi" w:cstheme="majorHAnsi"/>
          <w:b/>
          <w:bCs/>
          <w:color w:val="000000"/>
        </w:rPr>
        <w:t xml:space="preserve"> Baton</w:t>
      </w:r>
      <w:proofErr w:type="gramEnd"/>
      <w:r>
        <w:rPr>
          <w:rFonts w:asciiTheme="majorHAnsi" w:hAnsiTheme="majorHAnsi" w:cstheme="majorHAnsi"/>
          <w:b/>
          <w:bCs/>
          <w:color w:val="000000"/>
        </w:rPr>
        <w:t xml:space="preserve"> Rouge, LA 70809</w:t>
      </w:r>
    </w:p>
    <w:p w14:paraId="5502CCF8" w14:textId="77777777" w:rsidR="00822155" w:rsidRPr="00822155" w:rsidRDefault="00414FBE" w:rsidP="00731E1F">
      <w:pPr>
        <w:autoSpaceDE w:val="0"/>
        <w:autoSpaceDN w:val="0"/>
        <w:adjustRightInd w:val="0"/>
        <w:spacing w:before="0" w:after="0" w:line="480" w:lineRule="auto"/>
        <w:ind w:left="1440" w:firstLine="720"/>
        <w:rPr>
          <w:rFonts w:asciiTheme="majorHAnsi" w:hAnsiTheme="majorHAnsi" w:cstheme="majorHAnsi"/>
          <w:b/>
          <w:bCs/>
          <w:color w:val="000000"/>
        </w:rPr>
      </w:pPr>
      <w:hyperlink r:id="rId8" w:history="1">
        <w:r w:rsidR="00822155" w:rsidRPr="00731E55">
          <w:rPr>
            <w:rStyle w:val="Hyperlink"/>
            <w:rFonts w:asciiTheme="majorHAnsi" w:hAnsiTheme="majorHAnsi" w:cstheme="majorHAnsi"/>
            <w:b/>
            <w:bCs/>
          </w:rPr>
          <w:t>r.amin@titansource1.com</w:t>
        </w:r>
      </w:hyperlink>
      <w:r w:rsidR="00822155">
        <w:rPr>
          <w:rFonts w:asciiTheme="majorHAnsi" w:hAnsiTheme="majorHAnsi" w:cstheme="majorHAnsi"/>
          <w:b/>
          <w:bCs/>
          <w:color w:val="000000"/>
        </w:rPr>
        <w:t xml:space="preserve"> 225.772.4411</w:t>
      </w:r>
    </w:p>
    <w:p w14:paraId="677E20D4" w14:textId="77777777" w:rsidR="0024000F" w:rsidRDefault="00822155" w:rsidP="0024000F">
      <w:pPr>
        <w:pStyle w:val="Heading3"/>
      </w:pPr>
      <w:r w:rsidRPr="00822155">
        <w:t xml:space="preserve">1.6 SDS Prepared by: </w:t>
      </w:r>
    </w:p>
    <w:p w14:paraId="6CBE63F1" w14:textId="44A66848" w:rsidR="00EC7DA7" w:rsidRDefault="00822155" w:rsidP="0024000F">
      <w:pPr>
        <w:autoSpaceDE w:val="0"/>
        <w:autoSpaceDN w:val="0"/>
        <w:adjustRightInd w:val="0"/>
        <w:spacing w:before="0" w:after="0" w:line="480" w:lineRule="auto"/>
        <w:ind w:left="1440" w:firstLine="72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Titan Source 1, LLC</w:t>
      </w:r>
      <w:r w:rsidR="0024000F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151634">
        <w:rPr>
          <w:rFonts w:asciiTheme="majorHAnsi" w:hAnsiTheme="majorHAnsi" w:cstheme="majorHAnsi"/>
          <w:b/>
          <w:bCs/>
          <w:color w:val="000000"/>
        </w:rPr>
        <w:t>6313 Equity Dr.,</w:t>
      </w:r>
      <w:r>
        <w:rPr>
          <w:rFonts w:asciiTheme="majorHAnsi" w:hAnsiTheme="majorHAnsi" w:cstheme="majorHAnsi"/>
          <w:b/>
          <w:bCs/>
          <w:color w:val="000000"/>
        </w:rPr>
        <w:t xml:space="preserve"> Baton Rouge, LA 70809</w:t>
      </w:r>
    </w:p>
    <w:p w14:paraId="5F0D0936" w14:textId="77777777" w:rsidR="00822155" w:rsidRDefault="00414FBE" w:rsidP="00731E1F">
      <w:pPr>
        <w:autoSpaceDE w:val="0"/>
        <w:autoSpaceDN w:val="0"/>
        <w:adjustRightInd w:val="0"/>
        <w:spacing w:before="0" w:after="0" w:line="480" w:lineRule="auto"/>
        <w:ind w:left="1440" w:firstLine="720"/>
        <w:rPr>
          <w:rFonts w:asciiTheme="majorHAnsi" w:hAnsiTheme="majorHAnsi" w:cstheme="majorHAnsi"/>
          <w:b/>
          <w:bCs/>
          <w:color w:val="000000"/>
        </w:rPr>
      </w:pPr>
      <w:hyperlink r:id="rId9" w:history="1">
        <w:r w:rsidR="00822155" w:rsidRPr="00731E55">
          <w:rPr>
            <w:rStyle w:val="Hyperlink"/>
            <w:rFonts w:asciiTheme="majorHAnsi" w:hAnsiTheme="majorHAnsi" w:cstheme="majorHAnsi"/>
            <w:b/>
            <w:bCs/>
          </w:rPr>
          <w:t>r.amin@titansource1.com</w:t>
        </w:r>
      </w:hyperlink>
      <w:r w:rsidR="00822155">
        <w:rPr>
          <w:rFonts w:asciiTheme="majorHAnsi" w:hAnsiTheme="majorHAnsi" w:cstheme="majorHAnsi"/>
          <w:b/>
          <w:bCs/>
          <w:color w:val="000000"/>
        </w:rPr>
        <w:t xml:space="preserve"> 225.772.4411</w:t>
      </w:r>
    </w:p>
    <w:p w14:paraId="122755C8" w14:textId="77777777" w:rsidR="0024000F" w:rsidRDefault="0024000F" w:rsidP="0024000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  <w:b/>
          <w:bCs/>
          <w:color w:val="000000"/>
        </w:rPr>
      </w:pPr>
    </w:p>
    <w:p w14:paraId="0A12821F" w14:textId="77777777" w:rsidR="0024000F" w:rsidRPr="00822155" w:rsidRDefault="0024000F" w:rsidP="0024000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  <w:b/>
          <w:bCs/>
          <w:color w:val="000000"/>
        </w:rPr>
      </w:pPr>
    </w:p>
    <w:p w14:paraId="0316960A" w14:textId="77777777" w:rsidR="00822155" w:rsidRPr="00822155" w:rsidRDefault="00822155" w:rsidP="00731E1F">
      <w:pPr>
        <w:pStyle w:val="Heading2"/>
        <w:spacing w:line="480" w:lineRule="auto"/>
      </w:pPr>
      <w:r w:rsidRPr="00822155">
        <w:lastRenderedPageBreak/>
        <w:t>2. HAZARD IDENTIFICATION:</w:t>
      </w:r>
    </w:p>
    <w:p w14:paraId="1486A8A5" w14:textId="77777777" w:rsidR="00822155" w:rsidRPr="00822155" w:rsidRDefault="00822155" w:rsidP="00731E1F">
      <w:pPr>
        <w:pStyle w:val="Heading3"/>
      </w:pPr>
      <w:r w:rsidRPr="00822155">
        <w:t>2.1 Product Hazards:</w:t>
      </w:r>
    </w:p>
    <w:p w14:paraId="0D007F77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720" w:firstLine="720"/>
        <w:rPr>
          <w:rFonts w:asciiTheme="majorHAnsi" w:hAnsiTheme="majorHAnsi" w:cstheme="majorHAnsi"/>
          <w:b/>
          <w:bCs/>
          <w:color w:val="000000"/>
        </w:rPr>
      </w:pPr>
      <w:r w:rsidRPr="00822155">
        <w:rPr>
          <w:rFonts w:asciiTheme="majorHAnsi" w:hAnsiTheme="majorHAnsi" w:cstheme="majorHAnsi"/>
          <w:b/>
          <w:bCs/>
          <w:color w:val="000000"/>
        </w:rPr>
        <w:t>There are no known health hazards from exposure to intact, un-energized lamps.</w:t>
      </w:r>
    </w:p>
    <w:p w14:paraId="6726A137" w14:textId="77777777" w:rsidR="00822155" w:rsidRPr="00822155" w:rsidRDefault="00822155" w:rsidP="00731E1F">
      <w:pPr>
        <w:pStyle w:val="Heading3"/>
      </w:pPr>
      <w:r w:rsidRPr="00822155">
        <w:t>2.2 Other Hazards:</w:t>
      </w:r>
    </w:p>
    <w:p w14:paraId="5003A288" w14:textId="77777777" w:rsidR="00DE5FF7" w:rsidRDefault="00822155" w:rsidP="0024000F">
      <w:pPr>
        <w:autoSpaceDE w:val="0"/>
        <w:autoSpaceDN w:val="0"/>
        <w:adjustRightInd w:val="0"/>
        <w:spacing w:before="0" w:after="0" w:line="480" w:lineRule="auto"/>
        <w:ind w:left="720" w:firstLine="720"/>
        <w:rPr>
          <w:rFonts w:asciiTheme="majorHAnsi" w:hAnsiTheme="majorHAnsi" w:cstheme="majorHAnsi"/>
          <w:b/>
          <w:bCs/>
          <w:color w:val="000000"/>
        </w:rPr>
      </w:pPr>
      <w:r w:rsidRPr="00822155">
        <w:rPr>
          <w:rFonts w:asciiTheme="majorHAnsi" w:hAnsiTheme="majorHAnsi" w:cstheme="majorHAnsi"/>
          <w:b/>
          <w:bCs/>
          <w:color w:val="000000"/>
        </w:rPr>
        <w:t>See section 9, 11, and 12.</w:t>
      </w:r>
    </w:p>
    <w:p w14:paraId="367F164C" w14:textId="77777777" w:rsidR="00DE5FF7" w:rsidRDefault="00DE5FF7" w:rsidP="00731E1F">
      <w:pPr>
        <w:spacing w:line="480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br w:type="page"/>
      </w:r>
    </w:p>
    <w:p w14:paraId="448721BF" w14:textId="77777777" w:rsidR="00822155" w:rsidRPr="00822155" w:rsidRDefault="00822155" w:rsidP="00731E1F">
      <w:pPr>
        <w:pStyle w:val="Heading2"/>
        <w:spacing w:line="480" w:lineRule="auto"/>
      </w:pPr>
      <w:r w:rsidRPr="00822155">
        <w:lastRenderedPageBreak/>
        <w:t>3. COMPOSITION:</w:t>
      </w:r>
    </w:p>
    <w:p w14:paraId="0F2688D0" w14:textId="77777777" w:rsidR="00822155" w:rsidRPr="00731E1F" w:rsidRDefault="00822155" w:rsidP="00731E1F">
      <w:pPr>
        <w:pStyle w:val="Heading3"/>
      </w:pPr>
      <w:r w:rsidRPr="00822155">
        <w:t>3.1 Ingredients and Exposure Limits</w:t>
      </w:r>
      <w:r w:rsidRPr="00822155">
        <w:rPr>
          <w:b/>
          <w:bCs/>
        </w:rPr>
        <w:t>:</w:t>
      </w:r>
    </w:p>
    <w:p w14:paraId="545B40AB" w14:textId="77777777" w:rsidR="000C22D3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160"/>
        <w:rPr>
          <w:rFonts w:asciiTheme="majorHAnsi" w:hAnsiTheme="majorHAnsi" w:cstheme="majorHAnsi"/>
          <w:b/>
          <w:bCs/>
          <w:color w:val="000000"/>
        </w:rPr>
      </w:pPr>
      <w:r w:rsidRPr="00822155">
        <w:rPr>
          <w:rFonts w:asciiTheme="majorHAnsi" w:hAnsiTheme="majorHAnsi" w:cstheme="majorHAnsi"/>
          <w:b/>
          <w:bCs/>
          <w:color w:val="000000"/>
        </w:rPr>
        <w:t>There are no known health hazards from exposure to intact, un-energized</w:t>
      </w:r>
      <w:r w:rsidR="00DE5FF7">
        <w:rPr>
          <w:rFonts w:asciiTheme="majorHAnsi" w:hAnsiTheme="majorHAnsi" w:cstheme="majorHAnsi"/>
          <w:b/>
          <w:bCs/>
          <w:color w:val="000000"/>
        </w:rPr>
        <w:t xml:space="preserve"> lamps. If a lamp is broken the </w:t>
      </w:r>
      <w:r w:rsidRPr="00822155">
        <w:rPr>
          <w:rFonts w:asciiTheme="majorHAnsi" w:hAnsiTheme="majorHAnsi" w:cstheme="majorHAnsi"/>
          <w:b/>
          <w:bCs/>
          <w:color w:val="000000"/>
        </w:rPr>
        <w:t>following materials may be released:</w:t>
      </w:r>
    </w:p>
    <w:p w14:paraId="4BCCC74C" w14:textId="77777777" w:rsidR="00822155" w:rsidRDefault="00822155" w:rsidP="00731E1F">
      <w:pPr>
        <w:spacing w:line="480" w:lineRule="auto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1617"/>
        <w:gridCol w:w="1437"/>
        <w:gridCol w:w="1530"/>
        <w:gridCol w:w="1535"/>
      </w:tblGrid>
      <w:tr w:rsidR="00822155" w14:paraId="14C34B19" w14:textId="77777777" w:rsidTr="00843A5B">
        <w:trPr>
          <w:trHeight w:val="376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8D06" w14:textId="77777777" w:rsidR="00822155" w:rsidRDefault="00822155" w:rsidP="00731E1F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Ingredients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CD90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CAS-number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46D17F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Quantity (%) 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DFDA37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Exposure Limits in Air (mg/cubic meter) </w:t>
            </w:r>
          </w:p>
        </w:tc>
      </w:tr>
      <w:tr w:rsidR="00822155" w14:paraId="3D5AA061" w14:textId="77777777" w:rsidTr="00822155">
        <w:trPr>
          <w:trHeight w:val="250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ACC4" w14:textId="77777777" w:rsidR="00822155" w:rsidRDefault="00822155" w:rsidP="00731E1F">
            <w:pPr>
              <w:pStyle w:val="Default"/>
              <w:spacing w:line="480" w:lineRule="auto"/>
              <w:rPr>
                <w:color w:val="auto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94E6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color w:val="auto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D11026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color w:val="auto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655E6A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OSHA PEL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E3F5D4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ACGIH TLV </w:t>
            </w:r>
          </w:p>
        </w:tc>
      </w:tr>
      <w:tr w:rsidR="00822155" w14:paraId="28301F7A" w14:textId="77777777" w:rsidTr="00822155">
        <w:trPr>
          <w:trHeight w:val="177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8553" w14:textId="77777777" w:rsidR="00822155" w:rsidRDefault="00822155" w:rsidP="00731E1F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Quartz (Fused Silica) *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A40E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60676-86-0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6CA44B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75-90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E7D126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F7B0A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</w:t>
            </w:r>
          </w:p>
        </w:tc>
      </w:tr>
      <w:tr w:rsidR="00822155" w14:paraId="1CF2214C" w14:textId="77777777" w:rsidTr="00822155">
        <w:trPr>
          <w:trHeight w:val="177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5413" w14:textId="77777777" w:rsidR="00822155" w:rsidRDefault="00822155" w:rsidP="00731E1F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Mercury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450D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7439-97-6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87EFFF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0ECF2B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0.10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2E940A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 </w:t>
            </w:r>
          </w:p>
        </w:tc>
      </w:tr>
      <w:tr w:rsidR="00822155" w14:paraId="786980F0" w14:textId="77777777" w:rsidTr="00822155">
        <w:trPr>
          <w:trHeight w:val="177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1609" w14:textId="77777777" w:rsidR="00822155" w:rsidRDefault="00822155" w:rsidP="00731E1F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1E4E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7440-31-5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DD514E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0-&lt;1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4F54D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C36E41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</w:t>
            </w:r>
          </w:p>
        </w:tc>
      </w:tr>
      <w:tr w:rsidR="00822155" w14:paraId="18DC9296" w14:textId="77777777" w:rsidTr="00822155">
        <w:trPr>
          <w:trHeight w:val="177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626A" w14:textId="77777777" w:rsidR="00822155" w:rsidRDefault="00822155" w:rsidP="00731E1F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Argon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2D4A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7440-37-1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962CE1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0-&lt;1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4478AC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D63C85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</w:p>
        </w:tc>
      </w:tr>
      <w:tr w:rsidR="00822155" w14:paraId="0018A6F4" w14:textId="77777777" w:rsidTr="00822155">
        <w:trPr>
          <w:trHeight w:val="177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036EB" w14:textId="77777777" w:rsidR="00822155" w:rsidRDefault="00822155" w:rsidP="00731E1F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Neon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B893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7440-01-9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F0CC1F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0-&lt;1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3B0AD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DE0DF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</w:p>
        </w:tc>
      </w:tr>
      <w:tr w:rsidR="00822155" w14:paraId="3C811E8B" w14:textId="77777777" w:rsidTr="00822155">
        <w:trPr>
          <w:trHeight w:val="177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8D3F" w14:textId="77777777" w:rsidR="00822155" w:rsidRDefault="00822155" w:rsidP="00731E1F">
            <w:pPr>
              <w:pStyle w:val="Default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Xenon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82FA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7440-63-3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79972D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0-&lt;1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A9519E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AD040C" w14:textId="77777777" w:rsidR="00822155" w:rsidRDefault="00822155" w:rsidP="00731E1F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</w:p>
        </w:tc>
      </w:tr>
    </w:tbl>
    <w:p w14:paraId="407DA0B3" w14:textId="77777777" w:rsidR="00822155" w:rsidRDefault="00822155" w:rsidP="00731E1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</w:rPr>
      </w:pPr>
      <w:r w:rsidRPr="00822155">
        <w:rPr>
          <w:rFonts w:asciiTheme="majorHAnsi" w:hAnsiTheme="majorHAnsi" w:cstheme="majorHAnsi"/>
        </w:rPr>
        <w:t xml:space="preserve">* When quartz tubing is heated to working temperatures, the silica vapors given </w:t>
      </w:r>
      <w:r w:rsidR="00DE5FF7">
        <w:rPr>
          <w:rFonts w:asciiTheme="majorHAnsi" w:hAnsiTheme="majorHAnsi" w:cstheme="majorHAnsi"/>
        </w:rPr>
        <w:t xml:space="preserve">off condense as amorphous </w:t>
      </w:r>
      <w:r w:rsidRPr="00822155">
        <w:rPr>
          <w:rFonts w:asciiTheme="majorHAnsi" w:hAnsiTheme="majorHAnsi" w:cstheme="majorHAnsi"/>
        </w:rPr>
        <w:t xml:space="preserve">silica. </w:t>
      </w:r>
      <w:r w:rsidR="00EF1777">
        <w:rPr>
          <w:rFonts w:asciiTheme="majorHAnsi" w:hAnsiTheme="majorHAnsi" w:cstheme="majorHAnsi"/>
        </w:rPr>
        <w:t xml:space="preserve"> </w:t>
      </w:r>
      <w:r w:rsidRPr="00822155">
        <w:rPr>
          <w:rFonts w:asciiTheme="majorHAnsi" w:hAnsiTheme="majorHAnsi" w:cstheme="majorHAnsi"/>
        </w:rPr>
        <w:t>Amorphous silica has an exposure limit of 10mg/cubic meter per O</w:t>
      </w:r>
      <w:r w:rsidR="00EF1777">
        <w:rPr>
          <w:rFonts w:asciiTheme="majorHAnsi" w:hAnsiTheme="majorHAnsi" w:cstheme="majorHAnsi"/>
        </w:rPr>
        <w:t xml:space="preserve">SHA and 0.025mg/cubic meter per </w:t>
      </w:r>
      <w:r w:rsidR="00DE5FF7">
        <w:rPr>
          <w:rFonts w:asciiTheme="majorHAnsi" w:hAnsiTheme="majorHAnsi" w:cstheme="majorHAnsi"/>
        </w:rPr>
        <w:t xml:space="preserve">ACGIH.  </w:t>
      </w:r>
      <w:r w:rsidRPr="00822155">
        <w:rPr>
          <w:rFonts w:asciiTheme="majorHAnsi" w:hAnsiTheme="majorHAnsi" w:cstheme="majorHAnsi"/>
        </w:rPr>
        <w:t>**The TLV for a simple asphyxiant is a minimum atmospheric oxygen</w:t>
      </w:r>
      <w:r w:rsidR="00EF1777">
        <w:rPr>
          <w:rFonts w:asciiTheme="majorHAnsi" w:hAnsiTheme="majorHAnsi" w:cstheme="majorHAnsi"/>
        </w:rPr>
        <w:t xml:space="preserve"> content of 18% by volume, at 1 </w:t>
      </w:r>
      <w:r w:rsidRPr="00822155">
        <w:rPr>
          <w:rFonts w:asciiTheme="majorHAnsi" w:hAnsiTheme="majorHAnsi" w:cstheme="majorHAnsi"/>
        </w:rPr>
        <w:t>atmosphere pressure.</w:t>
      </w:r>
    </w:p>
    <w:p w14:paraId="2E8AC394" w14:textId="77777777" w:rsidR="00DE5FF7" w:rsidRDefault="00DE5FF7" w:rsidP="00731E1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</w:rPr>
      </w:pPr>
    </w:p>
    <w:p w14:paraId="1C7DC25C" w14:textId="77777777" w:rsidR="0024000F" w:rsidRDefault="0024000F" w:rsidP="00731E1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</w:rPr>
      </w:pPr>
    </w:p>
    <w:p w14:paraId="1F9602BD" w14:textId="77777777" w:rsidR="0024000F" w:rsidRDefault="0024000F" w:rsidP="00731E1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</w:rPr>
      </w:pPr>
    </w:p>
    <w:p w14:paraId="58F3D2CB" w14:textId="77777777" w:rsidR="0024000F" w:rsidRDefault="0024000F" w:rsidP="00731E1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</w:rPr>
      </w:pPr>
    </w:p>
    <w:p w14:paraId="1CEA9030" w14:textId="77777777" w:rsidR="0024000F" w:rsidRPr="00822155" w:rsidRDefault="0024000F" w:rsidP="00731E1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</w:rPr>
      </w:pPr>
    </w:p>
    <w:p w14:paraId="6DAA3E21" w14:textId="77777777" w:rsidR="00822155" w:rsidRPr="00822155" w:rsidRDefault="00822155" w:rsidP="00731E1F">
      <w:pPr>
        <w:pStyle w:val="Heading2"/>
        <w:spacing w:line="480" w:lineRule="auto"/>
      </w:pPr>
      <w:r w:rsidRPr="00822155">
        <w:lastRenderedPageBreak/>
        <w:t>4. FIRST AID MEASURES:</w:t>
      </w:r>
    </w:p>
    <w:p w14:paraId="371E56C6" w14:textId="77777777" w:rsidR="00822155" w:rsidRPr="00822155" w:rsidRDefault="00822155" w:rsidP="00731E1F">
      <w:pPr>
        <w:pStyle w:val="Heading3"/>
      </w:pPr>
      <w:r w:rsidRPr="00822155">
        <w:t>4.1 First Aid:</w:t>
      </w:r>
    </w:p>
    <w:p w14:paraId="21F3BB3B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None applicable to intact lamps.</w:t>
      </w:r>
    </w:p>
    <w:p w14:paraId="1E627CFC" w14:textId="77777777" w:rsidR="00822155" w:rsidRPr="00822155" w:rsidRDefault="00822155" w:rsidP="00731E1F">
      <w:pPr>
        <w:pStyle w:val="Heading3"/>
      </w:pPr>
      <w:r w:rsidRPr="00822155">
        <w:t>4.2 Other:</w:t>
      </w:r>
    </w:p>
    <w:p w14:paraId="43618C04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See section 8 and 11.</w:t>
      </w:r>
    </w:p>
    <w:p w14:paraId="10453F56" w14:textId="77777777" w:rsidR="00822155" w:rsidRPr="00822155" w:rsidRDefault="00822155" w:rsidP="00731E1F">
      <w:pPr>
        <w:pStyle w:val="Heading2"/>
        <w:spacing w:line="480" w:lineRule="auto"/>
      </w:pPr>
      <w:r w:rsidRPr="00822155">
        <w:t>5. FIRE FIGHTING MEASURES:</w:t>
      </w:r>
    </w:p>
    <w:p w14:paraId="4B9B7D77" w14:textId="77777777" w:rsidR="00822155" w:rsidRPr="00822155" w:rsidRDefault="00822155" w:rsidP="00731E1F">
      <w:pPr>
        <w:pStyle w:val="Heading3"/>
      </w:pPr>
      <w:r w:rsidRPr="00822155">
        <w:t>5.1 Combustibility:</w:t>
      </w:r>
    </w:p>
    <w:p w14:paraId="2729130D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Non-combustible</w:t>
      </w:r>
    </w:p>
    <w:p w14:paraId="6DCCA4E0" w14:textId="77777777" w:rsidR="00822155" w:rsidRPr="00822155" w:rsidRDefault="00822155" w:rsidP="00731E1F">
      <w:pPr>
        <w:pStyle w:val="Heading3"/>
      </w:pPr>
      <w:r w:rsidRPr="00822155">
        <w:t>5.2 Extinguishing Agents:</w:t>
      </w:r>
    </w:p>
    <w:p w14:paraId="5EDE0655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Use an extinguishing media that is suitable for surrounding the fire such as extinguishing powder, foam, or</w:t>
      </w:r>
      <w:r w:rsidR="00731E1F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water.</w:t>
      </w:r>
    </w:p>
    <w:p w14:paraId="06A5C685" w14:textId="77777777" w:rsidR="00822155" w:rsidRPr="00822155" w:rsidRDefault="00822155" w:rsidP="00731E1F">
      <w:pPr>
        <w:pStyle w:val="Heading3"/>
      </w:pPr>
      <w:r w:rsidRPr="00822155">
        <w:t>5.3 Special Fire Hazards:</w:t>
      </w:r>
    </w:p>
    <w:p w14:paraId="20BD956A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When exposed to high temperatures, toxic vapors may be released from broken lamps.</w:t>
      </w:r>
    </w:p>
    <w:p w14:paraId="2419C6B8" w14:textId="77777777" w:rsidR="00822155" w:rsidRPr="00822155" w:rsidRDefault="00822155" w:rsidP="00731E1F">
      <w:pPr>
        <w:pStyle w:val="Heading3"/>
      </w:pPr>
      <w:r w:rsidRPr="00822155">
        <w:t>5.4 Firefighting Hazards:</w:t>
      </w:r>
    </w:p>
    <w:p w14:paraId="0BE95810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 xml:space="preserve">Use a self-contained breathing apparatus to prevent the inhalation of </w:t>
      </w:r>
      <w:r w:rsidR="00DE5FF7">
        <w:rPr>
          <w:rFonts w:asciiTheme="majorHAnsi" w:hAnsiTheme="majorHAnsi" w:cstheme="majorHAnsi"/>
          <w:b/>
          <w:bCs/>
        </w:rPr>
        <w:t xml:space="preserve">dust and/or fumes that may be </w:t>
      </w:r>
      <w:r w:rsidRPr="00822155">
        <w:rPr>
          <w:rFonts w:asciiTheme="majorHAnsi" w:hAnsiTheme="majorHAnsi" w:cstheme="majorHAnsi"/>
          <w:b/>
          <w:bCs/>
        </w:rPr>
        <w:t>generated from broken lamps during firefighting activities.</w:t>
      </w:r>
    </w:p>
    <w:p w14:paraId="11E421C7" w14:textId="77777777" w:rsidR="00822155" w:rsidRPr="00822155" w:rsidRDefault="00822155" w:rsidP="00731E1F">
      <w:pPr>
        <w:pStyle w:val="Heading3"/>
      </w:pPr>
      <w:r w:rsidRPr="00822155">
        <w:t>5.5 Post Fire:</w:t>
      </w:r>
    </w:p>
    <w:p w14:paraId="77F0791A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All contaminated extinguishing media must be contained and disposed</w:t>
      </w:r>
      <w:r w:rsidR="00DE5FF7">
        <w:rPr>
          <w:rFonts w:asciiTheme="majorHAnsi" w:hAnsiTheme="majorHAnsi" w:cstheme="majorHAnsi"/>
          <w:b/>
          <w:bCs/>
        </w:rPr>
        <w:t xml:space="preserve"> of in accordance with federal, </w:t>
      </w:r>
      <w:r w:rsidRPr="00822155">
        <w:rPr>
          <w:rFonts w:asciiTheme="majorHAnsi" w:hAnsiTheme="majorHAnsi" w:cstheme="majorHAnsi"/>
          <w:b/>
          <w:bCs/>
        </w:rPr>
        <w:t>state, and local requirements.</w:t>
      </w:r>
    </w:p>
    <w:p w14:paraId="5F62C1EB" w14:textId="77777777" w:rsidR="00731E1F" w:rsidRDefault="00731E1F">
      <w:pPr>
        <w:rPr>
          <w:caps/>
          <w:spacing w:val="15"/>
        </w:rPr>
      </w:pPr>
      <w:r>
        <w:br w:type="page"/>
      </w:r>
    </w:p>
    <w:p w14:paraId="6AB64EBA" w14:textId="77777777" w:rsidR="00822155" w:rsidRPr="00822155" w:rsidRDefault="00822155" w:rsidP="00731E1F">
      <w:pPr>
        <w:pStyle w:val="Heading2"/>
        <w:spacing w:line="480" w:lineRule="auto"/>
      </w:pPr>
      <w:r w:rsidRPr="00822155">
        <w:lastRenderedPageBreak/>
        <w:t>6. ACCIDENTAL RELEASE MEASURES:</w:t>
      </w:r>
    </w:p>
    <w:p w14:paraId="6EF72729" w14:textId="77777777" w:rsidR="00822155" w:rsidRPr="00822155" w:rsidRDefault="00822155" w:rsidP="00731E1F">
      <w:pPr>
        <w:pStyle w:val="Heading3"/>
      </w:pPr>
      <w:r w:rsidRPr="00822155">
        <w:t>6.1 Incidental Breakage:</w:t>
      </w:r>
    </w:p>
    <w:p w14:paraId="1AA637D3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 xml:space="preserve">Incidental breakage of a lamp may result in exposure to elemental </w:t>
      </w:r>
      <w:r w:rsidR="00DE5FF7">
        <w:rPr>
          <w:rFonts w:asciiTheme="majorHAnsi" w:hAnsiTheme="majorHAnsi" w:cstheme="majorHAnsi"/>
          <w:b/>
          <w:bCs/>
        </w:rPr>
        <w:t xml:space="preserve">mercury. No adverse effects are </w:t>
      </w:r>
      <w:r w:rsidRPr="00822155">
        <w:rPr>
          <w:rFonts w:asciiTheme="majorHAnsi" w:hAnsiTheme="majorHAnsi" w:cstheme="majorHAnsi"/>
          <w:b/>
          <w:bCs/>
        </w:rPr>
        <w:t>expected, however; prolonged or frequent exposure should be avoided through the use of adequate</w:t>
      </w:r>
      <w:r w:rsidR="00DE5FF7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ventilation when disposing of large quantities of lamps.</w:t>
      </w:r>
    </w:p>
    <w:p w14:paraId="75B84ABA" w14:textId="77777777" w:rsidR="00822155" w:rsidRPr="00822155" w:rsidRDefault="00822155" w:rsidP="00731E1F">
      <w:pPr>
        <w:pStyle w:val="Heading3"/>
      </w:pPr>
      <w:r w:rsidRPr="00822155">
        <w:t>6.2 Method for Cleaning Up a Broken Lamp:</w:t>
      </w:r>
    </w:p>
    <w:p w14:paraId="3A17C0CD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If lamps are broken, ventilate the area where the breakage occurred. Take the usual precautions for</w:t>
      </w:r>
      <w:r w:rsidR="00DE5FF7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collecting broken glass. Clean up with a mercury vacuum cleaner or with other suitable means that avoids</w:t>
      </w:r>
      <w:r w:rsidR="00DE5FF7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dust and mercury vapor generation. DO NOT USE A STANDARD VACUUM CLEANER. Place collected</w:t>
      </w:r>
      <w:r w:rsidR="00DE5FF7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materials in a closed container to avoid generating dust.</w:t>
      </w:r>
    </w:p>
    <w:p w14:paraId="3C4C3C6F" w14:textId="77777777" w:rsidR="00DE5FF7" w:rsidRDefault="00822155" w:rsidP="00731E1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</w:rPr>
      </w:pPr>
      <w:r w:rsidRPr="00822155">
        <w:rPr>
          <w:rFonts w:asciiTheme="majorHAnsi" w:hAnsiTheme="majorHAnsi" w:cstheme="majorHAnsi"/>
        </w:rPr>
        <w:t xml:space="preserve">Additional guidance on cleaning up broken lamps may be obtained at: </w:t>
      </w:r>
    </w:p>
    <w:p w14:paraId="53B73E7F" w14:textId="77777777" w:rsidR="00822155" w:rsidRPr="00822155" w:rsidRDefault="00822155" w:rsidP="00731E1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</w:rPr>
      </w:pPr>
      <w:r w:rsidRPr="00822155">
        <w:rPr>
          <w:rFonts w:asciiTheme="majorHAnsi" w:hAnsiTheme="majorHAnsi" w:cstheme="majorHAnsi"/>
        </w:rPr>
        <w:t>http://www2.epa.gov/cfl/cleaningbroken-cfl#instructions.</w:t>
      </w:r>
    </w:p>
    <w:p w14:paraId="37E5759D" w14:textId="77777777" w:rsidR="00822155" w:rsidRPr="00822155" w:rsidRDefault="00822155" w:rsidP="00731E1F">
      <w:pPr>
        <w:pStyle w:val="Heading3"/>
      </w:pPr>
      <w:r w:rsidRPr="00822155">
        <w:t>6.3 Personal Precautions and Protective Equipment:</w:t>
      </w:r>
    </w:p>
    <w:p w14:paraId="78DDDBF4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Use personal protective clothing under adequate ventilation to maintain exposure levels below the OSHA</w:t>
      </w:r>
      <w:r w:rsidR="00DE5FF7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PEL or TLV limits. After handling broken lamps, remove protective clothing and thoroughly wash hands</w:t>
      </w:r>
      <w:r w:rsidR="00DE5FF7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before eating, smoking, or using toilet facilities. Normal precautions should be taken for collecting broken</w:t>
      </w:r>
      <w:r w:rsidR="00DE5FF7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glass.</w:t>
      </w:r>
    </w:p>
    <w:p w14:paraId="724C0A43" w14:textId="77777777" w:rsidR="00822155" w:rsidRPr="00822155" w:rsidRDefault="00822155" w:rsidP="00731E1F">
      <w:pPr>
        <w:pStyle w:val="Heading3"/>
      </w:pPr>
      <w:r w:rsidRPr="00822155">
        <w:t>6.4 Environmental Precautions:</w:t>
      </w:r>
    </w:p>
    <w:p w14:paraId="6A329876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Dispose of spent and broken lamps in accordance with all applicable federal, state, and local requirements.</w:t>
      </w:r>
    </w:p>
    <w:p w14:paraId="320FC4E7" w14:textId="77777777" w:rsidR="00822155" w:rsidRPr="00822155" w:rsidRDefault="00822155" w:rsidP="00731E1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</w:rPr>
      </w:pPr>
      <w:r w:rsidRPr="00822155">
        <w:rPr>
          <w:rFonts w:asciiTheme="majorHAnsi" w:hAnsiTheme="majorHAnsi" w:cstheme="majorHAnsi"/>
        </w:rPr>
        <w:lastRenderedPageBreak/>
        <w:t>Additional guidance on the disposal of fluorescent lamps may be obtained at: http://www.lamprecycle.org/</w:t>
      </w:r>
    </w:p>
    <w:p w14:paraId="2201AA30" w14:textId="77777777" w:rsidR="00822155" w:rsidRPr="00822155" w:rsidRDefault="00822155" w:rsidP="00731E1F">
      <w:pPr>
        <w:pStyle w:val="Heading3"/>
      </w:pPr>
      <w:r w:rsidRPr="00822155">
        <w:t>6.5 Reference to other sections:</w:t>
      </w:r>
    </w:p>
    <w:p w14:paraId="34EAA5DE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See section 7. 8. and 13.</w:t>
      </w:r>
    </w:p>
    <w:p w14:paraId="28E9F27E" w14:textId="77777777" w:rsidR="00822155" w:rsidRPr="00822155" w:rsidRDefault="00822155" w:rsidP="00731E1F">
      <w:pPr>
        <w:pStyle w:val="Heading2"/>
        <w:spacing w:line="480" w:lineRule="auto"/>
      </w:pPr>
      <w:r w:rsidRPr="00822155">
        <w:t>7. HANDLING AND STORAGE:</w:t>
      </w:r>
    </w:p>
    <w:p w14:paraId="32089222" w14:textId="77777777" w:rsidR="00822155" w:rsidRPr="00822155" w:rsidRDefault="00822155" w:rsidP="00731E1F">
      <w:pPr>
        <w:pStyle w:val="Heading3"/>
      </w:pPr>
      <w:r w:rsidRPr="00822155">
        <w:t>7.1 Precautions for Safe Handling and Storage:</w:t>
      </w:r>
    </w:p>
    <w:p w14:paraId="0DDAEB56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Use proper personal protective equipment to protect hands and eyes when installing and removing intact</w:t>
      </w:r>
      <w:r w:rsidR="00DE5FF7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lamps. Keep lamps packaged in a closed and labeled container. Store in a cool, well-ventilated area away</w:t>
      </w:r>
      <w:r w:rsidR="00DE5FF7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from direct sunlight, heat, and sources of ignition.</w:t>
      </w:r>
    </w:p>
    <w:p w14:paraId="2282F293" w14:textId="77777777" w:rsidR="00822155" w:rsidRPr="00822155" w:rsidRDefault="00822155" w:rsidP="00731E1F">
      <w:pPr>
        <w:pStyle w:val="Heading3"/>
      </w:pPr>
      <w:r w:rsidRPr="00822155">
        <w:t>7.2. Storage Incompatibility and Special Requirements:</w:t>
      </w:r>
    </w:p>
    <w:p w14:paraId="14A0AAF3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None for intact lamps.</w:t>
      </w:r>
    </w:p>
    <w:p w14:paraId="72CAF2EF" w14:textId="77777777" w:rsidR="00822155" w:rsidRPr="00822155" w:rsidRDefault="00822155" w:rsidP="00731E1F">
      <w:pPr>
        <w:pStyle w:val="Heading2"/>
        <w:spacing w:line="480" w:lineRule="auto"/>
      </w:pPr>
      <w:r w:rsidRPr="00822155">
        <w:t>8. EXPOSURE CONTROL AND PERSONAL PROTECTION:</w:t>
      </w:r>
    </w:p>
    <w:p w14:paraId="6ED69FAD" w14:textId="77777777" w:rsidR="00822155" w:rsidRPr="00822155" w:rsidRDefault="00822155" w:rsidP="00731E1F">
      <w:pPr>
        <w:pStyle w:val="Heading3"/>
      </w:pPr>
      <w:r w:rsidRPr="00822155">
        <w:t>8.1. Exposure Limit Values:</w:t>
      </w:r>
    </w:p>
    <w:p w14:paraId="3AB89C92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See section 3.1</w:t>
      </w:r>
    </w:p>
    <w:p w14:paraId="575B5618" w14:textId="77777777" w:rsidR="00822155" w:rsidRPr="00822155" w:rsidRDefault="00822155" w:rsidP="00731E1F">
      <w:pPr>
        <w:pStyle w:val="Heading3"/>
      </w:pPr>
      <w:r w:rsidRPr="00822155">
        <w:t>8.2 Occupational exposure controls:</w:t>
      </w:r>
    </w:p>
    <w:p w14:paraId="6602B461" w14:textId="77777777" w:rsidR="0024000F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Use adequate ventilation and other engineering controls to maintain exposure levels below the PEL limits.</w:t>
      </w:r>
      <w:r w:rsidR="00090763">
        <w:rPr>
          <w:rFonts w:asciiTheme="majorHAnsi" w:hAnsiTheme="majorHAnsi" w:cstheme="majorHAnsi"/>
          <w:b/>
          <w:bCs/>
        </w:rPr>
        <w:t xml:space="preserve">  </w:t>
      </w:r>
      <w:r w:rsidRPr="00822155">
        <w:rPr>
          <w:rFonts w:asciiTheme="majorHAnsi" w:hAnsiTheme="majorHAnsi" w:cstheme="majorHAnsi"/>
          <w:b/>
          <w:bCs/>
        </w:rPr>
        <w:t>If proper ventilation is unavailable, use only NIOSH approved respirators in airborne dust concentrations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that exceed the exposure limits.</w:t>
      </w:r>
    </w:p>
    <w:p w14:paraId="10CEC907" w14:textId="77777777" w:rsidR="0024000F" w:rsidRDefault="0024000F" w:rsidP="0024000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  <w:b/>
          <w:bCs/>
        </w:rPr>
      </w:pPr>
    </w:p>
    <w:p w14:paraId="6802D893" w14:textId="77777777" w:rsidR="0024000F" w:rsidRPr="00822155" w:rsidRDefault="0024000F" w:rsidP="0024000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  <w:b/>
          <w:bCs/>
        </w:rPr>
      </w:pPr>
    </w:p>
    <w:p w14:paraId="503B60BC" w14:textId="77777777" w:rsidR="00822155" w:rsidRPr="00822155" w:rsidRDefault="00822155" w:rsidP="00731E1F">
      <w:pPr>
        <w:pStyle w:val="Heading3"/>
      </w:pPr>
      <w:r w:rsidRPr="00822155">
        <w:lastRenderedPageBreak/>
        <w:t>8.3 Personal protective equipment:</w:t>
      </w:r>
    </w:p>
    <w:p w14:paraId="10FAE444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360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Use OSHA recommended safety glasses, goggles, or face shields when handling broken lamps. Protect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hands and skin by use of appropriate protective gloves and outerwear. Use only NIOSH approved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respirators when airborne dust concentrations exceed the exposure limits.</w:t>
      </w:r>
    </w:p>
    <w:p w14:paraId="0413C1A0" w14:textId="77777777" w:rsidR="00822155" w:rsidRPr="00822155" w:rsidRDefault="00822155" w:rsidP="00731E1F">
      <w:pPr>
        <w:pStyle w:val="Heading2"/>
        <w:spacing w:line="480" w:lineRule="auto"/>
      </w:pPr>
      <w:r w:rsidRPr="00822155">
        <w:t>9. PHYSICAL AND CHEMICAL PROPERTIES:</w:t>
      </w:r>
    </w:p>
    <w:p w14:paraId="04F7BE17" w14:textId="77777777" w:rsidR="00822155" w:rsidRPr="00822155" w:rsidRDefault="00822155" w:rsidP="00731E1F">
      <w:pPr>
        <w:pStyle w:val="Heading3"/>
      </w:pPr>
      <w:r w:rsidRPr="00822155">
        <w:t>9.1 Physical and chemical properties:</w:t>
      </w:r>
    </w:p>
    <w:p w14:paraId="2F443D37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Not applicable to an intact lamp.</w:t>
      </w:r>
    </w:p>
    <w:p w14:paraId="67ED3E0C" w14:textId="77777777" w:rsidR="00822155" w:rsidRPr="00822155" w:rsidRDefault="00822155" w:rsidP="00731E1F">
      <w:pPr>
        <w:pStyle w:val="Heading2"/>
        <w:spacing w:line="480" w:lineRule="auto"/>
      </w:pPr>
      <w:r w:rsidRPr="00822155">
        <w:t>10. STABILITY AND REACTIVITY:</w:t>
      </w:r>
    </w:p>
    <w:p w14:paraId="13722EC0" w14:textId="77777777" w:rsidR="00822155" w:rsidRPr="00822155" w:rsidRDefault="00822155" w:rsidP="00731E1F">
      <w:pPr>
        <w:pStyle w:val="Heading3"/>
      </w:pPr>
      <w:r w:rsidRPr="00822155">
        <w:t>10.1 Reactivity: Stable under normal conditions.</w:t>
      </w:r>
    </w:p>
    <w:p w14:paraId="1E782DCE" w14:textId="77777777" w:rsidR="00731E1F" w:rsidRDefault="00822155" w:rsidP="00731E1F">
      <w:pPr>
        <w:pStyle w:val="Heading3"/>
      </w:pPr>
      <w:r w:rsidRPr="00822155">
        <w:t xml:space="preserve">10.2 Chemical stability: </w:t>
      </w:r>
    </w:p>
    <w:p w14:paraId="0381F834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Stable under normal conditions.</w:t>
      </w:r>
    </w:p>
    <w:p w14:paraId="2C1B977E" w14:textId="77777777" w:rsidR="00731E1F" w:rsidRDefault="00822155" w:rsidP="00731E1F">
      <w:pPr>
        <w:pStyle w:val="Heading3"/>
        <w:rPr>
          <w:b/>
          <w:bCs/>
        </w:rPr>
      </w:pPr>
      <w:r w:rsidRPr="00822155">
        <w:t>10.3 Hazardous reactions</w:t>
      </w:r>
      <w:r w:rsidRPr="00822155">
        <w:rPr>
          <w:b/>
          <w:bCs/>
        </w:rPr>
        <w:t xml:space="preserve">: </w:t>
      </w:r>
    </w:p>
    <w:p w14:paraId="398F83E2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None for intact lamps.</w:t>
      </w:r>
    </w:p>
    <w:p w14:paraId="51C3370A" w14:textId="77777777" w:rsidR="00731E1F" w:rsidRDefault="00822155" w:rsidP="00731E1F">
      <w:pPr>
        <w:pStyle w:val="Heading3"/>
      </w:pPr>
      <w:r w:rsidRPr="00822155">
        <w:t xml:space="preserve">10.4 Materials to avoid: </w:t>
      </w:r>
    </w:p>
    <w:p w14:paraId="49234E7A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None for intact lamps.</w:t>
      </w:r>
    </w:p>
    <w:p w14:paraId="6A8681F9" w14:textId="77777777" w:rsidR="00731E1F" w:rsidRDefault="00822155" w:rsidP="00731E1F">
      <w:pPr>
        <w:pStyle w:val="Heading3"/>
      </w:pPr>
      <w:r w:rsidRPr="00822155">
        <w:t xml:space="preserve">10.5 Hazardous decomposition of products: </w:t>
      </w:r>
    </w:p>
    <w:p w14:paraId="45351DA0" w14:textId="77777777" w:rsid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Hazardous decomposition of an intact lamp will not occur.</w:t>
      </w:r>
    </w:p>
    <w:p w14:paraId="21BE59BF" w14:textId="77777777" w:rsidR="0024000F" w:rsidRDefault="0024000F" w:rsidP="0024000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  <w:b/>
          <w:bCs/>
        </w:rPr>
      </w:pPr>
    </w:p>
    <w:p w14:paraId="1E85A6F7" w14:textId="77777777" w:rsidR="0024000F" w:rsidRDefault="0024000F" w:rsidP="0024000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  <w:b/>
          <w:bCs/>
        </w:rPr>
      </w:pPr>
    </w:p>
    <w:p w14:paraId="08631C83" w14:textId="77777777" w:rsidR="0024000F" w:rsidRDefault="0024000F" w:rsidP="0024000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  <w:b/>
          <w:bCs/>
        </w:rPr>
      </w:pPr>
    </w:p>
    <w:p w14:paraId="5D498BB4" w14:textId="77777777" w:rsidR="0024000F" w:rsidRPr="00822155" w:rsidRDefault="0024000F" w:rsidP="0024000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  <w:b/>
          <w:bCs/>
        </w:rPr>
      </w:pPr>
    </w:p>
    <w:p w14:paraId="6981687B" w14:textId="77777777" w:rsidR="00822155" w:rsidRPr="00822155" w:rsidRDefault="00822155" w:rsidP="00731E1F">
      <w:pPr>
        <w:pStyle w:val="Heading2"/>
        <w:spacing w:line="480" w:lineRule="auto"/>
      </w:pPr>
      <w:r w:rsidRPr="00822155">
        <w:lastRenderedPageBreak/>
        <w:t>11. TOXICOLOGICAL INFORMATION:</w:t>
      </w:r>
    </w:p>
    <w:p w14:paraId="24922CB3" w14:textId="77777777" w:rsidR="00822155" w:rsidRPr="00822155" w:rsidRDefault="00822155" w:rsidP="00731E1F">
      <w:pPr>
        <w:pStyle w:val="Heading3"/>
      </w:pPr>
      <w:r w:rsidRPr="00822155">
        <w:t>11.1 Toxic Effects:</w:t>
      </w:r>
    </w:p>
    <w:p w14:paraId="16C985BA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There are no known health hazards from exposure to intact, un-energized lamps. No adverse e</w:t>
      </w:r>
      <w:r w:rsidR="00090763">
        <w:rPr>
          <w:rFonts w:asciiTheme="majorHAnsi" w:hAnsiTheme="majorHAnsi" w:cstheme="majorHAnsi"/>
          <w:b/>
          <w:bCs/>
        </w:rPr>
        <w:t xml:space="preserve">ffects are </w:t>
      </w:r>
      <w:r w:rsidRPr="00822155">
        <w:rPr>
          <w:rFonts w:asciiTheme="majorHAnsi" w:hAnsiTheme="majorHAnsi" w:cstheme="majorHAnsi"/>
          <w:b/>
          <w:bCs/>
        </w:rPr>
        <w:t>expected from occasional exposure to broken lamps. As a matter of good practice, avoid prolonged or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frequent exposure to broken lamps unless there is adequate ventilation. The major hazard of broken lamps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is the possibility of sustaining injuries due to broken glass.</w:t>
      </w:r>
    </w:p>
    <w:p w14:paraId="4C1BFAF9" w14:textId="77777777" w:rsidR="00822155" w:rsidRPr="00822155" w:rsidRDefault="00822155" w:rsidP="00731E1F">
      <w:pPr>
        <w:pStyle w:val="Heading3"/>
      </w:pPr>
      <w:r w:rsidRPr="00822155">
        <w:t>11.2 Toxic Effects of Overexposure to Broken Lamps by Inhalation, Ingestion, or Contact with Skin or Eye:</w:t>
      </w:r>
    </w:p>
    <w:p w14:paraId="68780A75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</w:rPr>
        <w:t xml:space="preserve">Mercury: </w:t>
      </w:r>
      <w:r w:rsidRPr="00822155">
        <w:rPr>
          <w:rFonts w:asciiTheme="majorHAnsi" w:hAnsiTheme="majorHAnsi" w:cstheme="majorHAnsi"/>
          <w:b/>
          <w:bCs/>
        </w:rPr>
        <w:t>Exposure to high concentrations of mercury vapors for brief periods can cause acute symptoms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such as pneumonitis (inflammation of lung tissue), chest pains, shortness of breath, coughing, gingivitis,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salivation, and possibly stomatitis (inflammation of the mouth and lips). Chronic exposure may cause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tremors and neuropsychiatric problems. Contact with the skin or eyes may result in redness to exposed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areas.</w:t>
      </w:r>
    </w:p>
    <w:p w14:paraId="603608D6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</w:rPr>
        <w:t xml:space="preserve">Inert gases: </w:t>
      </w:r>
      <w:r w:rsidRPr="00822155">
        <w:rPr>
          <w:rFonts w:asciiTheme="majorHAnsi" w:hAnsiTheme="majorHAnsi" w:cstheme="majorHAnsi"/>
          <w:b/>
          <w:bCs/>
        </w:rPr>
        <w:t>Inert gases such as Argon, Neon, and Xenon can cause asphyxia by displacing the ambient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oxygen. Some symptoms of asphyxia are headache and dizziness.</w:t>
      </w:r>
    </w:p>
    <w:p w14:paraId="13FDEDE2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</w:rPr>
        <w:t xml:space="preserve">Quartz glass: </w:t>
      </w:r>
      <w:r w:rsidRPr="00822155">
        <w:rPr>
          <w:rFonts w:asciiTheme="majorHAnsi" w:hAnsiTheme="majorHAnsi" w:cstheme="majorHAnsi"/>
          <w:b/>
          <w:bCs/>
        </w:rPr>
        <w:t>Glass lacerations are the primary potential hazard of this product. The dust produced in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cutting or grinding glass, when in excess of OSHA TLV and PEL limits, may result in respiratory irritation and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possible lung disease (silicosis). Symptoms include coughing, wheezing, and respiratory distress.</w:t>
      </w:r>
    </w:p>
    <w:p w14:paraId="0F9BBF69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</w:rPr>
        <w:t xml:space="preserve">Tin: </w:t>
      </w:r>
      <w:r w:rsidRPr="00822155">
        <w:rPr>
          <w:rFonts w:asciiTheme="majorHAnsi" w:hAnsiTheme="majorHAnsi" w:cstheme="majorHAnsi"/>
          <w:b/>
          <w:bCs/>
        </w:rPr>
        <w:t>Although not considered toxic, excessive exposure can cause fever, nausea, stomach cramps or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 xml:space="preserve">diarrhea. The chemical inertness and insolubility of this </w:t>
      </w:r>
      <w:r w:rsidRPr="00822155">
        <w:rPr>
          <w:rFonts w:asciiTheme="majorHAnsi" w:hAnsiTheme="majorHAnsi" w:cstheme="majorHAnsi"/>
          <w:b/>
          <w:bCs/>
        </w:rPr>
        <w:lastRenderedPageBreak/>
        <w:t>material is expected to reduce the potential for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systemic lead toxicity as noted above.</w:t>
      </w:r>
    </w:p>
    <w:p w14:paraId="650ADD7C" w14:textId="77777777" w:rsidR="00822155" w:rsidRPr="00822155" w:rsidRDefault="00822155" w:rsidP="00731E1F">
      <w:pPr>
        <w:pStyle w:val="Heading2"/>
        <w:spacing w:line="480" w:lineRule="auto"/>
      </w:pPr>
      <w:r w:rsidRPr="00822155">
        <w:t>12. ECOLOGICAL INFORMATION:</w:t>
      </w:r>
    </w:p>
    <w:p w14:paraId="6CDFBCAE" w14:textId="77777777" w:rsidR="00822155" w:rsidRPr="00822155" w:rsidRDefault="00822155" w:rsidP="00731E1F">
      <w:pPr>
        <w:pStyle w:val="Heading3"/>
      </w:pPr>
      <w:r w:rsidRPr="00822155">
        <w:t>12.1 Ecological Release:</w:t>
      </w:r>
    </w:p>
    <w:p w14:paraId="5E5648DC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Do not release to public or private sewer, surface water, or ground water.</w:t>
      </w:r>
    </w:p>
    <w:p w14:paraId="2F35FE42" w14:textId="77777777" w:rsidR="00822155" w:rsidRPr="00822155" w:rsidRDefault="00822155" w:rsidP="00731E1F">
      <w:pPr>
        <w:pStyle w:val="Heading2"/>
        <w:spacing w:line="480" w:lineRule="auto"/>
      </w:pPr>
      <w:r w:rsidRPr="00822155">
        <w:t>13. DISPOSAL CONSIDERATIONS:</w:t>
      </w:r>
    </w:p>
    <w:p w14:paraId="4567F7C1" w14:textId="77777777" w:rsidR="00822155" w:rsidRPr="00822155" w:rsidRDefault="00822155" w:rsidP="00731E1F">
      <w:pPr>
        <w:pStyle w:val="Heading3"/>
      </w:pPr>
      <w:r w:rsidRPr="00822155">
        <w:t>13.1 Waste Management:</w:t>
      </w:r>
    </w:p>
    <w:p w14:paraId="40986F6B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It is the responsibility of the generator to ensure proper classification and ultimate disposition of all waste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products. Dispose of spent and broken lamps in accordance with all applicable federal, state, and local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requirements.</w:t>
      </w:r>
    </w:p>
    <w:p w14:paraId="32F74093" w14:textId="77777777" w:rsidR="00822155" w:rsidRPr="00822155" w:rsidRDefault="00822155" w:rsidP="00731E1F">
      <w:pPr>
        <w:pStyle w:val="Heading2"/>
        <w:spacing w:line="480" w:lineRule="auto"/>
      </w:pPr>
      <w:r w:rsidRPr="00822155">
        <w:t>14. TRANSPORT INFORMATION:</w:t>
      </w:r>
    </w:p>
    <w:p w14:paraId="52752609" w14:textId="77777777" w:rsidR="00822155" w:rsidRPr="00822155" w:rsidRDefault="00822155" w:rsidP="00731E1F">
      <w:pPr>
        <w:pStyle w:val="Heading3"/>
      </w:pPr>
      <w:r w:rsidRPr="00822155">
        <w:t>14.1 As a Product:</w:t>
      </w:r>
    </w:p>
    <w:p w14:paraId="734110EA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/>
        <w:rPr>
          <w:rFonts w:asciiTheme="majorHAnsi" w:hAnsiTheme="majorHAnsi" w:cstheme="majorHAnsi"/>
        </w:rPr>
      </w:pPr>
      <w:r w:rsidRPr="00822155">
        <w:rPr>
          <w:rFonts w:asciiTheme="majorHAnsi" w:hAnsiTheme="majorHAnsi" w:cstheme="majorHAnsi"/>
          <w:b/>
          <w:bCs/>
        </w:rPr>
        <w:t>As a product, mercury-containing lamps, when shipped in the manufacturer’s original packaging, are not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regulated by air, truck, or ocean shipment</w:t>
      </w:r>
      <w:r w:rsidRPr="00822155">
        <w:rPr>
          <w:rFonts w:asciiTheme="majorHAnsi" w:hAnsiTheme="majorHAnsi" w:cstheme="majorHAnsi"/>
        </w:rPr>
        <w:t>.</w:t>
      </w:r>
    </w:p>
    <w:p w14:paraId="2232E58F" w14:textId="77777777" w:rsidR="00822155" w:rsidRPr="00822155" w:rsidRDefault="00822155" w:rsidP="00731E1F">
      <w:pPr>
        <w:pStyle w:val="Heading3"/>
      </w:pPr>
      <w:r w:rsidRPr="00822155">
        <w:t>14.2 As a Waste:</w:t>
      </w:r>
    </w:p>
    <w:p w14:paraId="159D5EDE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88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As a waste, mercury-containing lamps may be regulated in various states and local communities. This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safety data sheet does not constitute “knowledge of the waste” in all jurisdictions. Dispose of spent and</w:t>
      </w:r>
      <w:r w:rsidR="00090763">
        <w:rPr>
          <w:rFonts w:asciiTheme="majorHAnsi" w:hAnsiTheme="majorHAnsi" w:cstheme="majorHAnsi"/>
          <w:b/>
          <w:bCs/>
        </w:rPr>
        <w:t xml:space="preserve"> </w:t>
      </w:r>
      <w:r w:rsidRPr="00822155">
        <w:rPr>
          <w:rFonts w:asciiTheme="majorHAnsi" w:hAnsiTheme="majorHAnsi" w:cstheme="majorHAnsi"/>
          <w:b/>
          <w:bCs/>
        </w:rPr>
        <w:t>broken lamps in accordance with all applicable federal, state, and local requirements</w:t>
      </w:r>
    </w:p>
    <w:p w14:paraId="514D1BCD" w14:textId="77777777" w:rsidR="00822155" w:rsidRPr="00822155" w:rsidRDefault="00822155" w:rsidP="00731E1F">
      <w:pPr>
        <w:pStyle w:val="Heading2"/>
        <w:spacing w:line="480" w:lineRule="auto"/>
      </w:pPr>
      <w:r w:rsidRPr="00822155">
        <w:t>15. REGULATORY INFORMATION:</w:t>
      </w:r>
    </w:p>
    <w:p w14:paraId="1630674F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2160" w:firstLine="720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(Reserved)</w:t>
      </w:r>
    </w:p>
    <w:p w14:paraId="59F80163" w14:textId="77777777" w:rsidR="00822155" w:rsidRPr="00822155" w:rsidRDefault="00822155" w:rsidP="00731E1F">
      <w:pPr>
        <w:pStyle w:val="Heading2"/>
        <w:spacing w:line="480" w:lineRule="auto"/>
      </w:pPr>
      <w:r w:rsidRPr="00822155">
        <w:lastRenderedPageBreak/>
        <w:t>16. OTHER INFORMATION:</w:t>
      </w:r>
    </w:p>
    <w:p w14:paraId="1A5A1BF1" w14:textId="77777777" w:rsidR="00822155" w:rsidRPr="00822155" w:rsidRDefault="00822155" w:rsidP="00731E1F">
      <w:pPr>
        <w:autoSpaceDE w:val="0"/>
        <w:autoSpaceDN w:val="0"/>
        <w:adjustRightInd w:val="0"/>
        <w:spacing w:before="0" w:after="0" w:line="48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Revisions:</w:t>
      </w:r>
    </w:p>
    <w:p w14:paraId="0DEEB263" w14:textId="77777777" w:rsidR="00822155" w:rsidRPr="00822155" w:rsidRDefault="00822155" w:rsidP="0024000F">
      <w:pPr>
        <w:autoSpaceDE w:val="0"/>
        <w:autoSpaceDN w:val="0"/>
        <w:adjustRightInd w:val="0"/>
        <w:spacing w:before="0" w:after="0" w:line="480" w:lineRule="auto"/>
        <w:ind w:left="720" w:firstLine="720"/>
        <w:rPr>
          <w:rFonts w:asciiTheme="majorHAnsi" w:hAnsiTheme="majorHAnsi" w:cstheme="majorHAnsi"/>
        </w:rPr>
      </w:pPr>
      <w:r w:rsidRPr="00822155">
        <w:rPr>
          <w:rFonts w:asciiTheme="majorHAnsi" w:hAnsiTheme="majorHAnsi" w:cstheme="majorHAnsi"/>
        </w:rPr>
        <w:t>Date of revisions Version Number Changes</w:t>
      </w:r>
      <w:r w:rsidR="0093407A">
        <w:rPr>
          <w:rFonts w:asciiTheme="majorHAnsi" w:hAnsiTheme="majorHAnsi" w:cstheme="majorHAnsi"/>
        </w:rPr>
        <w:t>:  Original</w:t>
      </w:r>
    </w:p>
    <w:p w14:paraId="193E3E88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This safety data sheet (SDS) had been prepared on the basis of information provided by the</w:t>
      </w:r>
    </w:p>
    <w:p w14:paraId="03F1B496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manufacturer.</w:t>
      </w:r>
    </w:p>
    <w:p w14:paraId="6AA9956A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The information, data, and recommendations contained herein are provided in good faith,</w:t>
      </w:r>
    </w:p>
    <w:p w14:paraId="06D5E2D2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 xml:space="preserve">obtained from reliable </w:t>
      </w:r>
      <w:proofErr w:type="gramStart"/>
      <w:r w:rsidRPr="00822155">
        <w:rPr>
          <w:rFonts w:asciiTheme="majorHAnsi" w:hAnsiTheme="majorHAnsi" w:cstheme="majorHAnsi"/>
          <w:b/>
          <w:bCs/>
        </w:rPr>
        <w:t>sources, and</w:t>
      </w:r>
      <w:proofErr w:type="gramEnd"/>
      <w:r w:rsidRPr="00822155">
        <w:rPr>
          <w:rFonts w:asciiTheme="majorHAnsi" w:hAnsiTheme="majorHAnsi" w:cstheme="majorHAnsi"/>
          <w:b/>
          <w:bCs/>
        </w:rPr>
        <w:t xml:space="preserve"> believed to be true and accurate as of the date issued. No</w:t>
      </w:r>
    </w:p>
    <w:p w14:paraId="566B4790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representation is made as to the comprehensiveness of the information. This SDS shall be used</w:t>
      </w:r>
    </w:p>
    <w:p w14:paraId="6CA53EC5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only as a guide for handling the product under normal operating conditions. In the course of</w:t>
      </w:r>
    </w:p>
    <w:p w14:paraId="1A65F525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handling and using the product, other considerations may arise or be required. Since the</w:t>
      </w:r>
    </w:p>
    <w:p w14:paraId="547A3D5E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conditions of handling, storage, and disposal of this product are beyond the control of the</w:t>
      </w:r>
    </w:p>
    <w:p w14:paraId="70913070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manufacturer, distributor, and preparer; no warranty, expressed or implied, regarding the product</w:t>
      </w:r>
    </w:p>
    <w:p w14:paraId="0CFC2B1B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described shall be created or inferred by any of the statements contained within this SDS. No</w:t>
      </w:r>
    </w:p>
    <w:p w14:paraId="410E6C5F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 xml:space="preserve">responsibility is assumed regarding the accuracy, completeness, or suitability of any or </w:t>
      </w:r>
      <w:proofErr w:type="gramStart"/>
      <w:r w:rsidRPr="00822155">
        <w:rPr>
          <w:rFonts w:asciiTheme="majorHAnsi" w:hAnsiTheme="majorHAnsi" w:cstheme="majorHAnsi"/>
          <w:b/>
          <w:bCs/>
        </w:rPr>
        <w:t>all of</w:t>
      </w:r>
      <w:proofErr w:type="gramEnd"/>
      <w:r w:rsidRPr="00822155">
        <w:rPr>
          <w:rFonts w:asciiTheme="majorHAnsi" w:hAnsiTheme="majorHAnsi" w:cstheme="majorHAnsi"/>
          <w:b/>
          <w:bCs/>
        </w:rPr>
        <w:t xml:space="preserve"> the</w:t>
      </w:r>
    </w:p>
    <w:p w14:paraId="61604FE0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information contained herein nor other results obtained from the use thereof at any given time.</w:t>
      </w:r>
    </w:p>
    <w:p w14:paraId="46E53CA3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In no way shall the manufacturer, distributor, or preparer of this SDS be liable for any claims,</w:t>
      </w:r>
    </w:p>
    <w:p w14:paraId="63540125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losses, or damages of third parties, personal injury, property damage, lost profits, or any special,</w:t>
      </w:r>
    </w:p>
    <w:p w14:paraId="28BCD0AB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direct, indirect, incidental, consequential or exemplary damages resulting from the use of or</w:t>
      </w:r>
    </w:p>
    <w:p w14:paraId="6E9DFCFF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reliance upon this information. Users are cautioned to determine the appropriateness and</w:t>
      </w:r>
    </w:p>
    <w:p w14:paraId="3DFFAA6A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 xml:space="preserve">applicability of this information to their particular circumstances and purposes and, </w:t>
      </w:r>
      <w:proofErr w:type="gramStart"/>
      <w:r w:rsidRPr="00822155">
        <w:rPr>
          <w:rFonts w:asciiTheme="majorHAnsi" w:hAnsiTheme="majorHAnsi" w:cstheme="majorHAnsi"/>
          <w:b/>
          <w:bCs/>
        </w:rPr>
        <w:t>therefore;</w:t>
      </w:r>
      <w:proofErr w:type="gramEnd"/>
    </w:p>
    <w:p w14:paraId="14396E04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will assume all risks associated with the use of this product. It is the responsibility of the user to</w:t>
      </w:r>
    </w:p>
    <w:p w14:paraId="7A3E4A32" w14:textId="77777777" w:rsidR="00822155" w:rsidRPr="00822155" w:rsidRDefault="00822155" w:rsidP="00DE5FF7">
      <w:pPr>
        <w:autoSpaceDE w:val="0"/>
        <w:autoSpaceDN w:val="0"/>
        <w:adjustRightInd w:val="0"/>
        <w:spacing w:before="0" w:after="0" w:line="360" w:lineRule="auto"/>
        <w:rPr>
          <w:rFonts w:asciiTheme="majorHAnsi" w:hAnsiTheme="majorHAnsi" w:cstheme="majorHAnsi"/>
          <w:b/>
          <w:bCs/>
        </w:rPr>
      </w:pPr>
      <w:r w:rsidRPr="00822155">
        <w:rPr>
          <w:rFonts w:asciiTheme="majorHAnsi" w:hAnsiTheme="majorHAnsi" w:cstheme="majorHAnsi"/>
          <w:b/>
          <w:bCs/>
        </w:rPr>
        <w:t>fully comply with local, state, national, and international regulations concerning the use and</w:t>
      </w:r>
    </w:p>
    <w:p w14:paraId="42B14997" w14:textId="77777777" w:rsidR="00822155" w:rsidRPr="00822155" w:rsidRDefault="00822155" w:rsidP="00DE5FF7">
      <w:pPr>
        <w:spacing w:line="360" w:lineRule="auto"/>
        <w:rPr>
          <w:rFonts w:asciiTheme="majorHAnsi" w:hAnsiTheme="majorHAnsi" w:cstheme="majorHAnsi"/>
        </w:rPr>
      </w:pPr>
      <w:r w:rsidRPr="00822155">
        <w:rPr>
          <w:rFonts w:asciiTheme="majorHAnsi" w:hAnsiTheme="majorHAnsi" w:cstheme="majorHAnsi"/>
          <w:b/>
          <w:bCs/>
        </w:rPr>
        <w:t>disposal of this product.</w:t>
      </w:r>
    </w:p>
    <w:sectPr w:rsidR="00822155" w:rsidRPr="00822155" w:rsidSect="003F7A52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BB0C" w14:textId="77777777" w:rsidR="00414FBE" w:rsidRDefault="00414FBE" w:rsidP="003E3CE0">
      <w:pPr>
        <w:spacing w:after="0" w:line="240" w:lineRule="auto"/>
      </w:pPr>
      <w:r>
        <w:separator/>
      </w:r>
    </w:p>
  </w:endnote>
  <w:endnote w:type="continuationSeparator" w:id="0">
    <w:p w14:paraId="1023CB0C" w14:textId="77777777" w:rsidR="00414FBE" w:rsidRDefault="00414FBE" w:rsidP="003E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EB5D" w14:textId="77777777" w:rsidR="002A0884" w:rsidRPr="002A0884" w:rsidRDefault="002A0884" w:rsidP="002A0884">
    <w:pPr>
      <w:pStyle w:val="TitanFooter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657E4A44" w14:textId="77777777" w:rsidR="00A95072" w:rsidRDefault="00414FBE" w:rsidP="002A0884">
    <w:pPr>
      <w:pStyle w:val="TitanFooter"/>
      <w:jc w:val="center"/>
      <w:rPr>
        <w:rStyle w:val="Hyperlink"/>
        <w:color w:val="002060"/>
      </w:rPr>
    </w:pPr>
    <w:hyperlink r:id="rId1" w:history="1">
      <w:r w:rsidR="00CD3E99" w:rsidRPr="00010C5D">
        <w:rPr>
          <w:rStyle w:val="Hyperlink"/>
          <w:color w:val="002060"/>
        </w:rPr>
        <w:t>www.titansource1.com</w:t>
      </w:r>
    </w:hyperlink>
  </w:p>
  <w:p w14:paraId="38F3F9BB" w14:textId="77777777" w:rsidR="00F2029E" w:rsidRPr="00525FBD" w:rsidRDefault="00414FBE" w:rsidP="002A0884">
    <w:pPr>
      <w:pStyle w:val="TitanFooter"/>
      <w:jc w:val="center"/>
    </w:pPr>
    <w:hyperlink r:id="rId2" w:history="1">
      <w:r w:rsidR="00F2029E" w:rsidRPr="00010C5D">
        <w:rPr>
          <w:rStyle w:val="Hyperlink"/>
          <w:color w:val="002060"/>
        </w:rPr>
        <w:t>r.amin@titansource1.com</w:t>
      </w:r>
    </w:hyperlink>
    <w:r w:rsidR="002A0884">
      <w:rPr>
        <w:rStyle w:val="Hyperlink"/>
        <w:color w:val="002060"/>
      </w:rPr>
      <w:t xml:space="preserve"> </w:t>
    </w:r>
    <w:r w:rsidR="002A0884">
      <w:t>(225) 772-4411</w:t>
    </w:r>
    <w:r w:rsidR="002A0884">
      <w:tab/>
    </w:r>
    <w:r w:rsidR="00F2029E">
      <w:rPr>
        <w:rStyle w:val="Hyperlink"/>
        <w:color w:val="002060"/>
        <w:u w:val="none"/>
      </w:rPr>
      <w:tab/>
    </w:r>
    <w:hyperlink r:id="rId3" w:history="1">
      <w:r w:rsidR="002A0884" w:rsidRPr="002A0884">
        <w:rPr>
          <w:rStyle w:val="Hyperlink"/>
          <w:color w:val="002060"/>
        </w:rPr>
        <w:t>s.lancaster@titansource1.com</w:t>
      </w:r>
    </w:hyperlink>
    <w:r w:rsidR="002A0884" w:rsidRPr="002A0884">
      <w:rPr>
        <w:rStyle w:val="Hyperlink"/>
        <w:color w:val="002060"/>
      </w:rPr>
      <w:t xml:space="preserve"> </w:t>
    </w:r>
    <w:r w:rsidR="002A0884">
      <w:t>(865) 804-5936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A91E" w14:textId="77777777" w:rsidR="00414FBE" w:rsidRDefault="00414FBE" w:rsidP="003E3CE0">
      <w:pPr>
        <w:spacing w:after="0" w:line="240" w:lineRule="auto"/>
      </w:pPr>
      <w:r>
        <w:separator/>
      </w:r>
    </w:p>
  </w:footnote>
  <w:footnote w:type="continuationSeparator" w:id="0">
    <w:p w14:paraId="06D7FACE" w14:textId="77777777" w:rsidR="00414FBE" w:rsidRDefault="00414FBE" w:rsidP="003E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8AC1" w14:textId="77777777" w:rsidR="00DB5EE2" w:rsidRDefault="00DB5EE2" w:rsidP="00A721E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C59601" wp14:editId="31188120">
          <wp:simplePos x="0" y="0"/>
          <wp:positionH relativeFrom="margin">
            <wp:align>left</wp:align>
          </wp:positionH>
          <wp:positionV relativeFrom="paragraph">
            <wp:posOffset>-118056</wp:posOffset>
          </wp:positionV>
          <wp:extent cx="2221992" cy="1335024"/>
          <wp:effectExtent l="0" t="0" r="6985" b="0"/>
          <wp:wrapThrough wrapText="bothSides">
            <wp:wrapPolygon edited="0">
              <wp:start x="0" y="0"/>
              <wp:lineTo x="0" y="21271"/>
              <wp:lineTo x="21483" y="21271"/>
              <wp:lineTo x="2148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G Header revise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92" cy="1335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3E628" w14:textId="77777777" w:rsidR="00DB5EE2" w:rsidRDefault="00DB5EE2" w:rsidP="00A721EF">
    <w:pPr>
      <w:pStyle w:val="Header"/>
      <w:jc w:val="right"/>
    </w:pPr>
  </w:p>
  <w:p w14:paraId="57C1506A" w14:textId="77777777" w:rsidR="00A95072" w:rsidRDefault="00A95072" w:rsidP="00A721EF">
    <w:pPr>
      <w:pStyle w:val="Header"/>
      <w:jc w:val="right"/>
    </w:pPr>
  </w:p>
  <w:p w14:paraId="2E36E214" w14:textId="77777777" w:rsidR="00DB5EE2" w:rsidRDefault="00DB5EE2" w:rsidP="00A721EF">
    <w:pPr>
      <w:pStyle w:val="Header"/>
      <w:jc w:val="right"/>
    </w:pPr>
  </w:p>
  <w:p w14:paraId="0A8BDE81" w14:textId="77777777" w:rsidR="003F7A52" w:rsidRDefault="003F7A52" w:rsidP="00A721EF">
    <w:pPr>
      <w:pStyle w:val="Header"/>
      <w:jc w:val="right"/>
    </w:pPr>
  </w:p>
  <w:p w14:paraId="32E3A80C" w14:textId="77777777" w:rsidR="00DB5EE2" w:rsidRDefault="00DB5EE2" w:rsidP="00A721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112F"/>
    <w:multiLevelType w:val="hybridMultilevel"/>
    <w:tmpl w:val="3E9A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55"/>
    <w:rsid w:val="00010C5D"/>
    <w:rsid w:val="00016C68"/>
    <w:rsid w:val="00017C31"/>
    <w:rsid w:val="00022DA6"/>
    <w:rsid w:val="0003129C"/>
    <w:rsid w:val="00035E26"/>
    <w:rsid w:val="0004271B"/>
    <w:rsid w:val="00057367"/>
    <w:rsid w:val="00057B27"/>
    <w:rsid w:val="00065F23"/>
    <w:rsid w:val="000676EE"/>
    <w:rsid w:val="00071F55"/>
    <w:rsid w:val="00090763"/>
    <w:rsid w:val="000A3E51"/>
    <w:rsid w:val="000B314F"/>
    <w:rsid w:val="000B6E26"/>
    <w:rsid w:val="000C22D3"/>
    <w:rsid w:val="000D40FA"/>
    <w:rsid w:val="000D6150"/>
    <w:rsid w:val="000D64BC"/>
    <w:rsid w:val="000D78B0"/>
    <w:rsid w:val="000E338D"/>
    <w:rsid w:val="000E3E7B"/>
    <w:rsid w:val="0011046F"/>
    <w:rsid w:val="00117FC6"/>
    <w:rsid w:val="00120D19"/>
    <w:rsid w:val="00125047"/>
    <w:rsid w:val="00131425"/>
    <w:rsid w:val="001346D7"/>
    <w:rsid w:val="00151634"/>
    <w:rsid w:val="00164513"/>
    <w:rsid w:val="00166738"/>
    <w:rsid w:val="001672E7"/>
    <w:rsid w:val="0017029A"/>
    <w:rsid w:val="001851F3"/>
    <w:rsid w:val="001A38F7"/>
    <w:rsid w:val="001A4D99"/>
    <w:rsid w:val="001D1C81"/>
    <w:rsid w:val="001F4E17"/>
    <w:rsid w:val="0020521F"/>
    <w:rsid w:val="002131D5"/>
    <w:rsid w:val="002175EE"/>
    <w:rsid w:val="002314F7"/>
    <w:rsid w:val="00231CFB"/>
    <w:rsid w:val="002331E2"/>
    <w:rsid w:val="0024000F"/>
    <w:rsid w:val="00251FF7"/>
    <w:rsid w:val="00277468"/>
    <w:rsid w:val="002815CA"/>
    <w:rsid w:val="00281FDF"/>
    <w:rsid w:val="00290E37"/>
    <w:rsid w:val="00291FB5"/>
    <w:rsid w:val="002A0884"/>
    <w:rsid w:val="002A0ED3"/>
    <w:rsid w:val="002A40E8"/>
    <w:rsid w:val="002B5A02"/>
    <w:rsid w:val="002C05D4"/>
    <w:rsid w:val="00313041"/>
    <w:rsid w:val="00327DC3"/>
    <w:rsid w:val="003371B5"/>
    <w:rsid w:val="0034286C"/>
    <w:rsid w:val="003429AB"/>
    <w:rsid w:val="003454B2"/>
    <w:rsid w:val="00346CE0"/>
    <w:rsid w:val="0036006D"/>
    <w:rsid w:val="00372EDE"/>
    <w:rsid w:val="003876F2"/>
    <w:rsid w:val="00392935"/>
    <w:rsid w:val="00392ACC"/>
    <w:rsid w:val="00396163"/>
    <w:rsid w:val="003A1B0C"/>
    <w:rsid w:val="003A3F53"/>
    <w:rsid w:val="003C744A"/>
    <w:rsid w:val="003E3CE0"/>
    <w:rsid w:val="003F7A52"/>
    <w:rsid w:val="00414FBE"/>
    <w:rsid w:val="00416B94"/>
    <w:rsid w:val="00440F78"/>
    <w:rsid w:val="00476E3D"/>
    <w:rsid w:val="00477C27"/>
    <w:rsid w:val="004A2AA9"/>
    <w:rsid w:val="004B28DA"/>
    <w:rsid w:val="004D3D66"/>
    <w:rsid w:val="004E052B"/>
    <w:rsid w:val="004E5973"/>
    <w:rsid w:val="004F62D8"/>
    <w:rsid w:val="005159B1"/>
    <w:rsid w:val="00517D29"/>
    <w:rsid w:val="00525FBD"/>
    <w:rsid w:val="00527217"/>
    <w:rsid w:val="00531585"/>
    <w:rsid w:val="0054433F"/>
    <w:rsid w:val="00547FC2"/>
    <w:rsid w:val="005523EB"/>
    <w:rsid w:val="00554FCF"/>
    <w:rsid w:val="005641C4"/>
    <w:rsid w:val="005659B0"/>
    <w:rsid w:val="005B1A9F"/>
    <w:rsid w:val="005B7C17"/>
    <w:rsid w:val="005D03CA"/>
    <w:rsid w:val="00610A25"/>
    <w:rsid w:val="0061477D"/>
    <w:rsid w:val="0062301A"/>
    <w:rsid w:val="00636A49"/>
    <w:rsid w:val="00641393"/>
    <w:rsid w:val="006476D8"/>
    <w:rsid w:val="00656069"/>
    <w:rsid w:val="00660EF2"/>
    <w:rsid w:val="006803EE"/>
    <w:rsid w:val="00687CEF"/>
    <w:rsid w:val="00697A69"/>
    <w:rsid w:val="006A471C"/>
    <w:rsid w:val="006B4E23"/>
    <w:rsid w:val="006C0843"/>
    <w:rsid w:val="006C3074"/>
    <w:rsid w:val="006E00C0"/>
    <w:rsid w:val="006E5915"/>
    <w:rsid w:val="00713E1E"/>
    <w:rsid w:val="00716E15"/>
    <w:rsid w:val="00731E1F"/>
    <w:rsid w:val="00734220"/>
    <w:rsid w:val="007344D4"/>
    <w:rsid w:val="007779E9"/>
    <w:rsid w:val="00777FA8"/>
    <w:rsid w:val="00786459"/>
    <w:rsid w:val="0078767B"/>
    <w:rsid w:val="007B1F4B"/>
    <w:rsid w:val="007D10BC"/>
    <w:rsid w:val="007D54CC"/>
    <w:rsid w:val="007F4D40"/>
    <w:rsid w:val="00800521"/>
    <w:rsid w:val="00804C31"/>
    <w:rsid w:val="00805DCC"/>
    <w:rsid w:val="00815298"/>
    <w:rsid w:val="00816B50"/>
    <w:rsid w:val="00822155"/>
    <w:rsid w:val="008247B1"/>
    <w:rsid w:val="00830220"/>
    <w:rsid w:val="008355EB"/>
    <w:rsid w:val="0083590C"/>
    <w:rsid w:val="008400F5"/>
    <w:rsid w:val="008416B1"/>
    <w:rsid w:val="00851BC6"/>
    <w:rsid w:val="00857DDA"/>
    <w:rsid w:val="00867D48"/>
    <w:rsid w:val="00867DE8"/>
    <w:rsid w:val="0087001E"/>
    <w:rsid w:val="008878B4"/>
    <w:rsid w:val="008E4A37"/>
    <w:rsid w:val="008E54F3"/>
    <w:rsid w:val="009043D0"/>
    <w:rsid w:val="009130EF"/>
    <w:rsid w:val="00925651"/>
    <w:rsid w:val="00932F3B"/>
    <w:rsid w:val="0093407A"/>
    <w:rsid w:val="00944CB8"/>
    <w:rsid w:val="00964839"/>
    <w:rsid w:val="009821B5"/>
    <w:rsid w:val="00996885"/>
    <w:rsid w:val="009A46E0"/>
    <w:rsid w:val="009A7BF3"/>
    <w:rsid w:val="009B7E49"/>
    <w:rsid w:val="009C0DA3"/>
    <w:rsid w:val="009C4E41"/>
    <w:rsid w:val="009D5882"/>
    <w:rsid w:val="009E0FB5"/>
    <w:rsid w:val="009F4511"/>
    <w:rsid w:val="009F5870"/>
    <w:rsid w:val="00A00AC8"/>
    <w:rsid w:val="00A23AE6"/>
    <w:rsid w:val="00A32440"/>
    <w:rsid w:val="00A36E91"/>
    <w:rsid w:val="00A40ACC"/>
    <w:rsid w:val="00A4201F"/>
    <w:rsid w:val="00A52B96"/>
    <w:rsid w:val="00A721EF"/>
    <w:rsid w:val="00A73924"/>
    <w:rsid w:val="00A7785C"/>
    <w:rsid w:val="00A95072"/>
    <w:rsid w:val="00AB0CE1"/>
    <w:rsid w:val="00AB40D9"/>
    <w:rsid w:val="00AD7A65"/>
    <w:rsid w:val="00AE2C04"/>
    <w:rsid w:val="00B05DDA"/>
    <w:rsid w:val="00B13122"/>
    <w:rsid w:val="00B160C1"/>
    <w:rsid w:val="00B214D7"/>
    <w:rsid w:val="00B24707"/>
    <w:rsid w:val="00B26AC4"/>
    <w:rsid w:val="00B4141A"/>
    <w:rsid w:val="00B432A8"/>
    <w:rsid w:val="00B43B46"/>
    <w:rsid w:val="00B44F6D"/>
    <w:rsid w:val="00B73204"/>
    <w:rsid w:val="00B766BD"/>
    <w:rsid w:val="00B81DFC"/>
    <w:rsid w:val="00B91446"/>
    <w:rsid w:val="00BA3079"/>
    <w:rsid w:val="00BB3B76"/>
    <w:rsid w:val="00BC6647"/>
    <w:rsid w:val="00BD428C"/>
    <w:rsid w:val="00BF38E4"/>
    <w:rsid w:val="00BF7657"/>
    <w:rsid w:val="00BF76F1"/>
    <w:rsid w:val="00C02232"/>
    <w:rsid w:val="00C0762E"/>
    <w:rsid w:val="00C11170"/>
    <w:rsid w:val="00C11BC4"/>
    <w:rsid w:val="00C12B59"/>
    <w:rsid w:val="00C218D2"/>
    <w:rsid w:val="00C30173"/>
    <w:rsid w:val="00C316DC"/>
    <w:rsid w:val="00C346C2"/>
    <w:rsid w:val="00C37528"/>
    <w:rsid w:val="00C4246E"/>
    <w:rsid w:val="00C42BAE"/>
    <w:rsid w:val="00C54590"/>
    <w:rsid w:val="00C60C4A"/>
    <w:rsid w:val="00C61D7F"/>
    <w:rsid w:val="00C733F4"/>
    <w:rsid w:val="00C746E2"/>
    <w:rsid w:val="00C82A2F"/>
    <w:rsid w:val="00C90A18"/>
    <w:rsid w:val="00CB2CCF"/>
    <w:rsid w:val="00CC0A05"/>
    <w:rsid w:val="00CC7260"/>
    <w:rsid w:val="00CD3E99"/>
    <w:rsid w:val="00CE168C"/>
    <w:rsid w:val="00CE1E3B"/>
    <w:rsid w:val="00CF2C9C"/>
    <w:rsid w:val="00D016AD"/>
    <w:rsid w:val="00D1416F"/>
    <w:rsid w:val="00D15ACA"/>
    <w:rsid w:val="00D20DDD"/>
    <w:rsid w:val="00D45C3B"/>
    <w:rsid w:val="00D62B23"/>
    <w:rsid w:val="00D84F40"/>
    <w:rsid w:val="00D8508E"/>
    <w:rsid w:val="00D946F2"/>
    <w:rsid w:val="00D950CD"/>
    <w:rsid w:val="00D95A1C"/>
    <w:rsid w:val="00D97459"/>
    <w:rsid w:val="00DB5EE2"/>
    <w:rsid w:val="00DC7FFB"/>
    <w:rsid w:val="00DD0993"/>
    <w:rsid w:val="00DD7728"/>
    <w:rsid w:val="00DE5FF7"/>
    <w:rsid w:val="00DE6048"/>
    <w:rsid w:val="00DE651A"/>
    <w:rsid w:val="00DF5677"/>
    <w:rsid w:val="00E273CE"/>
    <w:rsid w:val="00E350FB"/>
    <w:rsid w:val="00E35170"/>
    <w:rsid w:val="00E61B41"/>
    <w:rsid w:val="00E63CEC"/>
    <w:rsid w:val="00E76591"/>
    <w:rsid w:val="00EC419D"/>
    <w:rsid w:val="00EC7DA7"/>
    <w:rsid w:val="00ED5481"/>
    <w:rsid w:val="00EE3928"/>
    <w:rsid w:val="00EF1777"/>
    <w:rsid w:val="00EF60BD"/>
    <w:rsid w:val="00F060E6"/>
    <w:rsid w:val="00F10368"/>
    <w:rsid w:val="00F13509"/>
    <w:rsid w:val="00F2029E"/>
    <w:rsid w:val="00F24393"/>
    <w:rsid w:val="00F36A9F"/>
    <w:rsid w:val="00F44F97"/>
    <w:rsid w:val="00F513A5"/>
    <w:rsid w:val="00F66D94"/>
    <w:rsid w:val="00F73708"/>
    <w:rsid w:val="00F86194"/>
    <w:rsid w:val="00F92328"/>
    <w:rsid w:val="00F92B52"/>
    <w:rsid w:val="00FB630F"/>
    <w:rsid w:val="00FC18F8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2296F"/>
  <w15:chartTrackingRefBased/>
  <w15:docId w15:val="{C1610485-A7DB-45EA-BAF2-55E3741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0F"/>
  </w:style>
  <w:style w:type="paragraph" w:styleId="Heading1">
    <w:name w:val="heading 1"/>
    <w:basedOn w:val="Normal"/>
    <w:next w:val="Normal"/>
    <w:link w:val="Heading1Char"/>
    <w:uiPriority w:val="9"/>
    <w:qFormat/>
    <w:rsid w:val="00FB630F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30F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30F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30F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30F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30F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30F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3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3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E0"/>
  </w:style>
  <w:style w:type="paragraph" w:styleId="Footer">
    <w:name w:val="footer"/>
    <w:basedOn w:val="Normal"/>
    <w:link w:val="FooterChar"/>
    <w:uiPriority w:val="99"/>
    <w:unhideWhenUsed/>
    <w:rsid w:val="003E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E0"/>
  </w:style>
  <w:style w:type="character" w:styleId="PlaceholderText">
    <w:name w:val="Placeholder Text"/>
    <w:basedOn w:val="DefaultParagraphFont"/>
    <w:uiPriority w:val="99"/>
    <w:semiHidden/>
    <w:rsid w:val="00A95072"/>
    <w:rPr>
      <w:color w:val="808080"/>
    </w:rPr>
  </w:style>
  <w:style w:type="table" w:styleId="TableGrid">
    <w:name w:val="Table Grid"/>
    <w:basedOn w:val="TableNormal"/>
    <w:uiPriority w:val="39"/>
    <w:rsid w:val="0028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630F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B630F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B630F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30F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30F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30F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30F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3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3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B630F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630F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30F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30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B63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B630F"/>
    <w:rPr>
      <w:b/>
      <w:bCs/>
    </w:rPr>
  </w:style>
  <w:style w:type="character" w:styleId="Emphasis">
    <w:name w:val="Emphasis"/>
    <w:uiPriority w:val="20"/>
    <w:qFormat/>
    <w:rsid w:val="00FB630F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FB63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630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63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30F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30F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FB630F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FB630F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FB630F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FB630F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FB63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30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3E99"/>
    <w:rPr>
      <w:color w:val="9454C3" w:themeColor="hyperlink"/>
      <w:u w:val="single"/>
    </w:rPr>
  </w:style>
  <w:style w:type="paragraph" w:customStyle="1" w:styleId="TitanFooter">
    <w:name w:val="TitanFooter"/>
    <w:basedOn w:val="Footer"/>
    <w:link w:val="TitanFooterChar"/>
    <w:qFormat/>
    <w:rsid w:val="00525FBD"/>
    <w:pPr>
      <w:keepNext/>
    </w:pPr>
    <w:rPr>
      <w:color w:val="002060"/>
    </w:rPr>
  </w:style>
  <w:style w:type="character" w:customStyle="1" w:styleId="TitanFooterChar">
    <w:name w:val="TitanFooter Char"/>
    <w:basedOn w:val="FooterChar"/>
    <w:link w:val="TitanFooter"/>
    <w:rsid w:val="00525FBD"/>
    <w:rPr>
      <w:color w:val="002060"/>
    </w:rPr>
  </w:style>
  <w:style w:type="paragraph" w:styleId="ListParagraph">
    <w:name w:val="List Paragraph"/>
    <w:basedOn w:val="Normal"/>
    <w:uiPriority w:val="34"/>
    <w:qFormat/>
    <w:rsid w:val="009B7E49"/>
    <w:pPr>
      <w:ind w:left="720"/>
      <w:contextualSpacing/>
    </w:pPr>
  </w:style>
  <w:style w:type="paragraph" w:styleId="Revision">
    <w:name w:val="Revision"/>
    <w:hidden/>
    <w:uiPriority w:val="99"/>
    <w:semiHidden/>
    <w:rsid w:val="0004271B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7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1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884"/>
    <w:rPr>
      <w:color w:val="605E5C"/>
      <w:shd w:val="clear" w:color="auto" w:fill="E1DFDD"/>
    </w:rPr>
  </w:style>
  <w:style w:type="paragraph" w:customStyle="1" w:styleId="Default">
    <w:name w:val="Default"/>
    <w:rsid w:val="00822155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amin@titansource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amin@titansource1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.lancaster@titansource1.com" TargetMode="External"/><Relationship Id="rId2" Type="http://schemas.openxmlformats.org/officeDocument/2006/relationships/hyperlink" Target="mailto:r.amin@titansource1.com" TargetMode="External"/><Relationship Id="rId1" Type="http://schemas.openxmlformats.org/officeDocument/2006/relationships/hyperlink" Target="http://www.titansource1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S1V3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6F86-1E25-4FEC-BBB6-1AE68236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TS1V3.dotx</Template>
  <TotalTime>1</TotalTime>
  <Pages>10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 S. Amin, Ph.D.</dc:creator>
  <cp:keywords/>
  <dc:description/>
  <cp:lastModifiedBy>Rupal Amin</cp:lastModifiedBy>
  <cp:revision>2</cp:revision>
  <dcterms:created xsi:type="dcterms:W3CDTF">2022-05-09T15:44:00Z</dcterms:created>
  <dcterms:modified xsi:type="dcterms:W3CDTF">2022-05-09T15:44:00Z</dcterms:modified>
</cp:coreProperties>
</file>